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文星标宋" w:hAnsi="文星标宋" w:eastAsia="文星标宋"/>
          <w:sz w:val="36"/>
          <w:szCs w:val="32"/>
        </w:rPr>
      </w:pPr>
      <w:bookmarkStart w:id="0" w:name="_GoBack"/>
      <w:r>
        <w:rPr>
          <w:rFonts w:hint="eastAsia" w:ascii="文星标宋" w:hAnsi="文星标宋" w:eastAsia="文星标宋"/>
          <w:sz w:val="36"/>
          <w:szCs w:val="32"/>
        </w:rPr>
        <w:t>201</w:t>
      </w:r>
      <w:r>
        <w:rPr>
          <w:rFonts w:ascii="文星标宋" w:hAnsi="文星标宋" w:eastAsia="文星标宋"/>
          <w:sz w:val="36"/>
          <w:szCs w:val="32"/>
        </w:rPr>
        <w:t>8</w:t>
      </w:r>
      <w:r>
        <w:rPr>
          <w:rFonts w:hint="eastAsia" w:ascii="文星标宋" w:hAnsi="文星标宋" w:eastAsia="文星标宋"/>
          <w:sz w:val="36"/>
          <w:szCs w:val="32"/>
        </w:rPr>
        <w:t>年第二季度网站抽查情况统计表</w:t>
      </w:r>
    </w:p>
    <w:bookmarkEnd w:id="0"/>
    <w:p>
      <w:pPr>
        <w:spacing w:line="580" w:lineRule="exact"/>
        <w:jc w:val="right"/>
        <w:rPr>
          <w:rFonts w:ascii="FangSong_GB2312" w:hAnsi="FangSong_GB2312" w:eastAsia="FangSong_GB2312"/>
          <w:sz w:val="28"/>
          <w:szCs w:val="32"/>
        </w:rPr>
      </w:pPr>
      <w:r>
        <w:rPr>
          <w:rFonts w:hint="eastAsia" w:ascii="FangSong_GB2312" w:hAnsi="FangSong_GB2312" w:eastAsia="FangSong_GB2312"/>
          <w:sz w:val="28"/>
          <w:szCs w:val="32"/>
        </w:rPr>
        <w:t xml:space="preserve">                      抽查采样时间：201</w:t>
      </w:r>
      <w:r>
        <w:rPr>
          <w:rFonts w:ascii="FangSong_GB2312" w:hAnsi="FangSong_GB2312" w:eastAsia="FangSong_GB2312"/>
          <w:sz w:val="28"/>
          <w:szCs w:val="32"/>
        </w:rPr>
        <w:t>8</w:t>
      </w:r>
      <w:r>
        <w:rPr>
          <w:rFonts w:hint="eastAsia" w:ascii="FangSong_GB2312" w:hAnsi="FangSong_GB2312" w:eastAsia="FangSong_GB2312"/>
          <w:sz w:val="28"/>
          <w:szCs w:val="32"/>
        </w:rPr>
        <w:t>年</w:t>
      </w:r>
      <w:r>
        <w:rPr>
          <w:rFonts w:ascii="FangSong_GB2312" w:hAnsi="FangSong_GB2312" w:eastAsia="FangSong_GB2312"/>
          <w:sz w:val="28"/>
          <w:szCs w:val="32"/>
        </w:rPr>
        <w:t>5</w:t>
      </w:r>
      <w:r>
        <w:rPr>
          <w:rFonts w:hint="eastAsia" w:ascii="FangSong_GB2312" w:hAnsi="FangSong_GB2312" w:eastAsia="FangSong_GB2312"/>
          <w:sz w:val="28"/>
          <w:szCs w:val="32"/>
        </w:rPr>
        <w:t>月1</w:t>
      </w:r>
      <w:r>
        <w:rPr>
          <w:rFonts w:ascii="FangSong_GB2312" w:hAnsi="FangSong_GB2312" w:eastAsia="FangSong_GB2312"/>
          <w:sz w:val="28"/>
          <w:szCs w:val="32"/>
        </w:rPr>
        <w:t>0</w:t>
      </w:r>
      <w:r>
        <w:rPr>
          <w:rFonts w:hint="eastAsia" w:ascii="FangSong_GB2312" w:hAnsi="FangSong_GB2312" w:eastAsia="FangSong_GB2312"/>
          <w:sz w:val="28"/>
          <w:szCs w:val="32"/>
        </w:rPr>
        <w:t>日至</w:t>
      </w:r>
      <w:r>
        <w:rPr>
          <w:rFonts w:ascii="FangSong_GB2312" w:hAnsi="FangSong_GB2312" w:eastAsia="FangSong_GB2312"/>
          <w:sz w:val="28"/>
          <w:szCs w:val="32"/>
        </w:rPr>
        <w:t>5</w:t>
      </w:r>
      <w:r>
        <w:rPr>
          <w:rFonts w:hint="eastAsia" w:ascii="FangSong_GB2312" w:hAnsi="FangSong_GB2312" w:eastAsia="FangSong_GB2312"/>
          <w:sz w:val="28"/>
          <w:szCs w:val="32"/>
        </w:rPr>
        <w:t>月</w:t>
      </w:r>
      <w:r>
        <w:rPr>
          <w:rFonts w:ascii="FangSong_GB2312" w:hAnsi="FangSong_GB2312" w:eastAsia="FangSong_GB2312"/>
          <w:sz w:val="28"/>
          <w:szCs w:val="32"/>
        </w:rPr>
        <w:t>25</w:t>
      </w:r>
      <w:r>
        <w:rPr>
          <w:rFonts w:hint="eastAsia" w:ascii="FangSong_GB2312" w:hAnsi="FangSong_GB2312" w:eastAsia="FangSong_GB2312"/>
          <w:sz w:val="28"/>
          <w:szCs w:val="32"/>
        </w:rPr>
        <w:t>日</w:t>
      </w:r>
    </w:p>
    <w:tbl>
      <w:tblPr>
        <w:tblStyle w:val="2"/>
        <w:tblW w:w="134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612"/>
        <w:gridCol w:w="1530"/>
        <w:gridCol w:w="2669"/>
        <w:gridCol w:w="1306"/>
        <w:gridCol w:w="2663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网站标识码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网站名称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是否为门户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首页地址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结果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抽查发现的突出问题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hint="eastAsia" w:ascii="SimSun" w:hAnsi="SimSun"/>
                <w:b/>
                <w:color w:val="00000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4104030001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卫东区政府门户网站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sz w:val="22"/>
              </w:rPr>
            </w:pPr>
            <w:r>
              <w:fldChar w:fldCharType="begin"/>
            </w:r>
            <w:r>
              <w:instrText xml:space="preserve"> HYPERLINK "http://www.weidong" </w:instrText>
            </w:r>
            <w:r>
              <w:fldChar w:fldCharType="separate"/>
            </w:r>
            <w:r>
              <w:rPr>
                <w:rStyle w:val="4"/>
              </w:rPr>
              <w:t>http://www.weidong</w:t>
            </w:r>
            <w:r>
              <w:rPr>
                <w:rStyle w:val="4"/>
              </w:rPr>
              <w:fldChar w:fldCharType="end"/>
            </w:r>
            <w:r>
              <w:rPr>
                <w:rFonts w:hint="eastAsia"/>
              </w:rPr>
              <w:t>.gov.c</w:t>
            </w:r>
            <w:r>
              <w:t>n</w:t>
            </w:r>
            <w:r>
              <w:rPr>
                <w:rFonts w:hint="eastAsia"/>
              </w:rPr>
              <w:t>.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 w:cs="SimSun"/>
                <w:color w:val="FF0000"/>
                <w:kern w:val="0"/>
                <w:sz w:val="20"/>
              </w:rPr>
            </w:pPr>
            <w:r>
              <w:rPr>
                <w:rFonts w:ascii="SimSun" w:hAnsi="SimSun"/>
                <w:color w:val="000000"/>
                <w:sz w:val="22"/>
              </w:rPr>
              <w:t>政府信息公开栏目内区政府领导信息、乡办事处、区政府各部门、垂直部门、行政权力清单、行政许可、行政处罚等超过</w:t>
            </w:r>
            <w:r>
              <w:rPr>
                <w:rFonts w:hint="eastAsia" w:ascii="SimSun" w:hAnsi="SimSun"/>
                <w:color w:val="000000"/>
                <w:sz w:val="22"/>
              </w:rPr>
              <w:t>10个</w:t>
            </w:r>
            <w:r>
              <w:rPr>
                <w:rFonts w:ascii="SimSun" w:hAnsi="SimSun"/>
                <w:color w:val="000000"/>
                <w:sz w:val="22"/>
              </w:rPr>
              <w:t>子栏目为空白栏目；</w:t>
            </w:r>
            <w:r>
              <w:rPr>
                <w:rFonts w:ascii="SimSun" w:hAnsi="SimSun"/>
                <w:color w:val="000000"/>
                <w:sz w:val="22"/>
              </w:rPr>
              <w:br w:type="textWrapping"/>
            </w:r>
            <w:r>
              <w:rPr>
                <w:rFonts w:ascii="SimSun" w:hAnsi="SimSun"/>
                <w:color w:val="000000"/>
                <w:sz w:val="22"/>
              </w:rPr>
              <w:t>网站</w:t>
            </w:r>
            <w:r>
              <w:rPr>
                <w:rFonts w:hint="eastAsia" w:ascii="SimSun" w:hAnsi="SimSun"/>
                <w:color w:val="000000"/>
                <w:sz w:val="22"/>
              </w:rPr>
              <w:t>首页“政府网站找错”未做链接；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单项否决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4104020001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新华区政府门户网站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Style w:val="4"/>
              </w:rPr>
              <w:t>http://www.xinhuaqu.gov.cn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政府信息公开栏目规划计划子栏目超过</w:t>
            </w:r>
            <w:r>
              <w:rPr>
                <w:rFonts w:hint="eastAsia" w:ascii="SimSun" w:hAnsi="SimSun"/>
                <w:color w:val="000000"/>
                <w:sz w:val="22"/>
              </w:rPr>
              <w:t>1年未更新；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4104210001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宝丰县政府门户网站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Style w:val="4"/>
              </w:rPr>
            </w:pPr>
            <w:r>
              <w:t>http://www.baofeng.gov.cn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互动回应差；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4104040002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石龙区政府门户网站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Style w:val="4"/>
              </w:rPr>
            </w:pPr>
            <w:r>
              <w:t>http://www.shilongqu.gov.cn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互动交流--意见征集栏目内存在测试信息；</w:t>
            </w:r>
          </w:p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政府信息公开栏目内突发环境事件与项目建设</w:t>
            </w:r>
            <w:r>
              <w:rPr>
                <w:rFonts w:hint="eastAsia" w:ascii="SimSun" w:hAnsi="SimSun"/>
                <w:color w:val="000000"/>
                <w:sz w:val="22"/>
              </w:rPr>
              <w:t>子栏目为空白栏目；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4104250001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sz w:val="24"/>
                <w:szCs w:val="24"/>
              </w:rPr>
            </w:pPr>
            <w:r>
              <w:rPr>
                <w:rFonts w:hint="eastAsia" w:ascii="SimSun" w:hAnsi="SimSun"/>
                <w:sz w:val="24"/>
                <w:szCs w:val="24"/>
              </w:rPr>
              <w:t>郏县政府门户网站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Style w:val="4"/>
              </w:rPr>
            </w:pPr>
            <w:r>
              <w:t>http://www.jiaxian.gov.cn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互动回应差；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4104230001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sz w:val="24"/>
                <w:szCs w:val="24"/>
              </w:rPr>
            </w:pPr>
            <w:r>
              <w:rPr>
                <w:rFonts w:hint="eastAsia" w:ascii="SimSun" w:hAnsi="SimSun"/>
                <w:sz w:val="24"/>
                <w:szCs w:val="24"/>
              </w:rPr>
              <w:t>鲁山县政府门户网站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rPr>
                <w:rFonts w:hint="eastAsia"/>
              </w:rPr>
              <w:t>http://www.hnls.gov.cn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ascii="SimSun" w:hAnsi="SimSun"/>
                <w:b/>
                <w:color w:val="FF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color w:val="000000"/>
                <w:lang w:val="en-US" w:eastAsia="zh-CN"/>
              </w:rPr>
              <w:t>站内二级页面及下层页面共存在</w:t>
            </w:r>
            <w:r>
              <w:rPr>
                <w:rFonts w:hint="eastAsia"/>
                <w:color w:val="000000"/>
              </w:rPr>
              <w:t>1431</w:t>
            </w:r>
            <w:r>
              <w:rPr>
                <w:rFonts w:hint="eastAsia"/>
                <w:color w:val="000000"/>
                <w:lang w:val="en-US" w:eastAsia="zh-CN"/>
              </w:rPr>
              <w:t>个无效链接；</w:t>
            </w:r>
            <w:r>
              <w:rPr>
                <w:rFonts w:ascii="SimSun" w:hAnsi="SimSun"/>
                <w:color w:val="000000"/>
                <w:sz w:val="22"/>
              </w:rPr>
              <w:br w:type="textWrapping"/>
            </w:r>
            <w:r>
              <w:rPr>
                <w:rFonts w:ascii="SimSun" w:hAnsi="SimSun"/>
                <w:color w:val="000000"/>
                <w:sz w:val="22"/>
              </w:rPr>
              <w:t>网站</w:t>
            </w:r>
            <w:r>
              <w:rPr>
                <w:rFonts w:hint="eastAsia" w:ascii="SimSun" w:hAnsi="SimSun"/>
                <w:color w:val="000000"/>
                <w:sz w:val="22"/>
              </w:rPr>
              <w:t>首页“政府网站找错”未做链接；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4104000011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新城区管委会网站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否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Style w:val="4"/>
              </w:rPr>
            </w:pPr>
            <w:r>
              <w:t>http://www.pdsxcq.gov.cn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新区内设机构各部门网页等超过10个子栏目为空白栏目；</w:t>
            </w:r>
            <w:r>
              <w:rPr>
                <w:rFonts w:ascii="SimSun" w:hAnsi="SimSun"/>
                <w:color w:val="000000"/>
                <w:sz w:val="22"/>
              </w:rPr>
              <w:br w:type="textWrapping"/>
            </w:r>
            <w:r>
              <w:rPr>
                <w:rFonts w:ascii="SimSun" w:hAnsi="SimSun"/>
                <w:color w:val="000000"/>
                <w:sz w:val="22"/>
              </w:rPr>
              <w:t>其他二级页面存在无效链接440</w:t>
            </w:r>
            <w:r>
              <w:rPr>
                <w:rFonts w:hint="eastAsia" w:ascii="SimSun" w:hAnsi="SimSun"/>
                <w:color w:val="000000"/>
                <w:sz w:val="22"/>
              </w:rPr>
              <w:t>个；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单项否决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4104000023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市民族宗教局网站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http://www.pdsmzzj.gov.cn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监测期两周内首页信息未更新；网站空白栏目数量超过</w:t>
            </w:r>
            <w:r>
              <w:rPr>
                <w:rFonts w:hint="eastAsia" w:ascii="SimSun" w:hAnsi="SimSun"/>
                <w:color w:val="000000"/>
                <w:sz w:val="22"/>
              </w:rPr>
              <w:t>5个；</w:t>
            </w:r>
            <w:r>
              <w:rPr>
                <w:rFonts w:ascii="SimSun" w:hAnsi="SimSun"/>
                <w:color w:val="000000"/>
                <w:sz w:val="22"/>
              </w:rPr>
              <w:br w:type="textWrapping"/>
            </w:r>
            <w:r>
              <w:rPr>
                <w:rFonts w:ascii="SimSun" w:hAnsi="SimSun"/>
                <w:color w:val="000000"/>
                <w:sz w:val="22"/>
              </w:rPr>
              <w:t>网站</w:t>
            </w:r>
            <w:r>
              <w:rPr>
                <w:rFonts w:hint="eastAsia" w:ascii="SimSun" w:hAnsi="SimSun"/>
                <w:color w:val="000000"/>
                <w:sz w:val="22"/>
              </w:rPr>
              <w:t>首页“政府网站找错”未做链接；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单项否决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4104000007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市人力资源和社会保障局网站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http://www.hapds.lss.gov.cn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ascii="SimSun" w:hAnsi="SimSu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监测期两周内首页信息更新量少于</w:t>
            </w:r>
            <w:r>
              <w:rPr>
                <w:rFonts w:hint="eastAsia" w:ascii="SimSun" w:hAnsi="SimSun"/>
                <w:color w:val="000000"/>
                <w:sz w:val="22"/>
              </w:rPr>
              <w:t>10条；</w:t>
            </w:r>
            <w:r>
              <w:rPr>
                <w:rFonts w:ascii="SimSun" w:hAnsi="SimSun"/>
                <w:color w:val="000000"/>
                <w:sz w:val="22"/>
              </w:rPr>
              <w:br w:type="textWrapping"/>
            </w:r>
            <w:r>
              <w:rPr>
                <w:rFonts w:hint="eastAsia" w:ascii="SimSun" w:hAnsi="SimSun"/>
                <w:color w:val="000000"/>
                <w:sz w:val="22"/>
              </w:rPr>
              <w:t>政府信息公开栏目规划计划子栏目超过1年未更新；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4104000009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市国土资源局网站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http://www.pdsgt.gov.cn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县区动态、地方法规规章更新不及时；</w:t>
            </w:r>
          </w:p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网站</w:t>
            </w:r>
            <w:r>
              <w:rPr>
                <w:rFonts w:hint="eastAsia" w:ascii="SimSun" w:hAnsi="SimSun"/>
                <w:color w:val="000000"/>
                <w:sz w:val="22"/>
              </w:rPr>
              <w:t>首页“政府网站找错”未做链接；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市文化广电新闻出版局网站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http://www.pdswgx.gov.cn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网站动态要闻、政策法规、通知公告等超过</w:t>
            </w:r>
            <w:r>
              <w:rPr>
                <w:rFonts w:hint="eastAsia" w:ascii="SimSun" w:hAnsi="SimSun"/>
                <w:color w:val="000000"/>
                <w:sz w:val="22"/>
              </w:rPr>
              <w:t>10个</w:t>
            </w:r>
            <w:r>
              <w:rPr>
                <w:rFonts w:ascii="SimSun" w:hAnsi="SimSun"/>
                <w:color w:val="000000"/>
                <w:sz w:val="22"/>
              </w:rPr>
              <w:t>栏目信息长期不更新；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市卫生和计划生育委员会网站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http://www.pdswsjsw.gov.cn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监测期两周内首页图片新闻未更新</w:t>
            </w:r>
            <w:r>
              <w:rPr>
                <w:rFonts w:hint="eastAsia" w:ascii="SimSun" w:hAnsi="SimSun"/>
                <w:color w:val="000000"/>
                <w:sz w:val="22"/>
              </w:rPr>
              <w:t>；</w:t>
            </w:r>
          </w:p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政策法规类信息超过1年未更新；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市外事侨务办网站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http://www.fappds.gov.cn/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办事指南部分附件不能下载；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市生产安全监督管理局网站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http://www.pdsaj.gov.cn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监测期两周内首页信息未更新；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市食品药品监督管理局网站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http://www.pdsfda.gov.cn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监测期两周内首页信息更新量少于</w:t>
            </w:r>
            <w:r>
              <w:rPr>
                <w:rFonts w:hint="eastAsia" w:ascii="SimSun" w:hAnsi="SimSun"/>
                <w:color w:val="000000"/>
                <w:sz w:val="22"/>
              </w:rPr>
              <w:t>10条；</w:t>
            </w:r>
            <w:r>
              <w:rPr>
                <w:rFonts w:ascii="SimSun" w:hAnsi="SimSun"/>
                <w:color w:val="000000"/>
                <w:sz w:val="22"/>
              </w:rPr>
              <w:br w:type="textWrapping"/>
            </w:r>
            <w:r>
              <w:rPr>
                <w:rFonts w:ascii="SimSun" w:hAnsi="SimSun"/>
                <w:color w:val="000000"/>
                <w:sz w:val="22"/>
              </w:rPr>
              <w:t>互动回应差；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4104810008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湛河区教体局网站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http://www.zhqjtj.gov.cn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领导信箱监测时间点前1年内栏目中无任何有效信件、留言；</w:t>
            </w:r>
            <w:r>
              <w:rPr>
                <w:rFonts w:ascii="SimSun" w:hAnsi="SimSun"/>
                <w:color w:val="000000"/>
                <w:sz w:val="22"/>
              </w:rPr>
              <w:br w:type="textWrapping"/>
            </w:r>
            <w:r>
              <w:rPr>
                <w:rFonts w:ascii="SimSun" w:hAnsi="SimSun"/>
                <w:color w:val="000000"/>
                <w:sz w:val="22"/>
              </w:rPr>
              <w:t>网站</w:t>
            </w:r>
            <w:r>
              <w:rPr>
                <w:rFonts w:hint="eastAsia" w:ascii="SimSun" w:hAnsi="SimSun"/>
                <w:color w:val="000000"/>
                <w:sz w:val="22"/>
              </w:rPr>
              <w:t>首页“政府网站找错”未做链接；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</w:tbl>
    <w:p/>
    <w:p/>
    <w:p/>
    <w:p>
      <w:pPr>
        <w:ind w:firstLine="600"/>
        <w:jc w:val="right"/>
        <w:rPr>
          <w:rFonts w:ascii="FangSong" w:hAnsi="FangSong" w:eastAsia="FangSong"/>
          <w:sz w:val="30"/>
          <w:szCs w:val="30"/>
        </w:rPr>
      </w:pPr>
    </w:p>
    <w:p>
      <w:pPr>
        <w:ind w:firstLine="600"/>
        <w:jc w:val="right"/>
        <w:rPr>
          <w:rFonts w:ascii="FangSong" w:hAnsi="FangSong" w:eastAsia="FangSong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Microsoft YaHei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FangSong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02CF6"/>
    <w:rsid w:val="2B302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2019-05-13T08:02:00Z</dcterms:created>
  <dc:creator>江南风</dc:creator>
  <cp:lastModifiedBy>江南风</cp:lastModifiedBy>
  <dcterms:modified xsi:type="dcterms:W3CDTF">2019-05-13T08:02:41Z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