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15" w:type="dxa"/>
          <w:left w:w="15" w:type="dxa"/>
          <w:bottom w:w="15" w:type="dxa"/>
          <w:right w:w="15" w:type="dxa"/>
        </w:tblCellMar>
      </w:tblPr>
      <w:tblGrid>
        <w:gridCol w:w="584"/>
        <w:gridCol w:w="1180"/>
        <w:gridCol w:w="1055"/>
        <w:gridCol w:w="1178"/>
        <w:gridCol w:w="1237"/>
        <w:gridCol w:w="971"/>
        <w:gridCol w:w="1516"/>
        <w:gridCol w:w="2563"/>
        <w:gridCol w:w="1583"/>
        <w:gridCol w:w="901"/>
        <w:gridCol w:w="789"/>
        <w:gridCol w:w="431"/>
      </w:tblGrid>
      <w:tr>
        <w:tblPrEx>
          <w:tblCellMar>
            <w:top w:w="15" w:type="dxa"/>
            <w:left w:w="15" w:type="dxa"/>
            <w:bottom w:w="15" w:type="dxa"/>
            <w:right w:w="15" w:type="dxa"/>
          </w:tblCellMar>
        </w:tblPrEx>
        <w:trPr>
          <w:trHeight w:val="1128" w:hRule="atLeast"/>
        </w:trPr>
        <w:tc>
          <w:tcPr>
            <w:tcW w:w="5000" w:type="pct"/>
            <w:gridSpan w:val="12"/>
            <w:noWrap w:val="0"/>
            <w:vAlign w:val="center"/>
          </w:tcPr>
          <w:p>
            <w:pPr>
              <w:widowControl/>
              <w:jc w:val="center"/>
              <w:textAlignment w:val="center"/>
              <w:rPr>
                <w:rFonts w:hint="eastAsia" w:ascii="方正小标宋_GBK" w:hAnsi="宋体" w:eastAsia="方正小标宋_GBK" w:cs="宋体"/>
                <w:color w:val="000000"/>
                <w:sz w:val="40"/>
                <w:szCs w:val="40"/>
              </w:rPr>
            </w:pPr>
            <w:r>
              <w:rPr>
                <w:rFonts w:hint="eastAsia" w:ascii="方正小标宋_GBK" w:hAnsi="宋体" w:eastAsia="方正小标宋_GBK" w:cs="宋体"/>
                <w:color w:val="000000"/>
                <w:kern w:val="0"/>
                <w:sz w:val="40"/>
                <w:szCs w:val="40"/>
                <w:lang w:bidi="ar"/>
              </w:rPr>
              <w:t>平顶山市</w:t>
            </w:r>
            <w:r>
              <w:rPr>
                <w:rFonts w:hint="eastAsia" w:ascii="方正小标宋_GBK" w:hAnsi="宋体" w:eastAsia="方正小标宋_GBK" w:cs="宋体"/>
                <w:color w:val="000000"/>
                <w:kern w:val="0"/>
                <w:sz w:val="40"/>
                <w:szCs w:val="40"/>
                <w:lang w:eastAsia="zh-CN" w:bidi="ar"/>
              </w:rPr>
              <w:t>住建</w:t>
            </w:r>
            <w:r>
              <w:rPr>
                <w:rFonts w:hint="eastAsia" w:ascii="方正小标宋_GBK" w:hAnsi="宋体" w:eastAsia="方正小标宋_GBK" w:cs="宋体"/>
                <w:color w:val="000000"/>
                <w:kern w:val="0"/>
                <w:sz w:val="40"/>
                <w:szCs w:val="40"/>
                <w:lang w:bidi="ar"/>
              </w:rPr>
              <w:t>局执法音像记录事项清单</w:t>
            </w:r>
          </w:p>
        </w:tc>
      </w:tr>
      <w:tr>
        <w:tblPrEx>
          <w:tblCellMar>
            <w:top w:w="15" w:type="dxa"/>
            <w:left w:w="15" w:type="dxa"/>
            <w:bottom w:w="15" w:type="dxa"/>
            <w:right w:w="15" w:type="dxa"/>
          </w:tblCellMar>
        </w:tblPrEx>
        <w:trPr>
          <w:trHeight w:val="768"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Courier New" w:eastAsia="仿宋_GB2312" w:cs="Courier New"/>
                <w:color w:val="000000"/>
                <w:szCs w:val="21"/>
              </w:rPr>
            </w:pPr>
            <w:r>
              <w:rPr>
                <w:rFonts w:hint="eastAsia" w:ascii="仿宋_GB2312" w:hAnsi="Courier New" w:eastAsia="仿宋_GB2312" w:cs="Courier New"/>
                <w:color w:val="000000"/>
                <w:kern w:val="0"/>
                <w:szCs w:val="21"/>
                <w:lang w:bidi="ar"/>
              </w:rPr>
              <w:t>序号</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执法类别</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执法事项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记录环节</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执法场所</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记录人</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记录开始时间</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记录内容</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记录结束时间</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记录存储   时间</w:t>
            </w:r>
          </w:p>
        </w:tc>
        <w:tc>
          <w:tcPr>
            <w:tcW w:w="282"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执法记录类别</w:t>
            </w:r>
          </w:p>
        </w:tc>
        <w:tc>
          <w:tcPr>
            <w:tcW w:w="1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lang w:bidi="ar"/>
              </w:rPr>
              <w:t>备注</w:t>
            </w:r>
          </w:p>
        </w:tc>
      </w:tr>
      <w:tr>
        <w:tblPrEx>
          <w:tblCellMar>
            <w:top w:w="15" w:type="dxa"/>
            <w:left w:w="15" w:type="dxa"/>
            <w:bottom w:w="15" w:type="dxa"/>
            <w:right w:w="15" w:type="dxa"/>
          </w:tblCellMar>
        </w:tblPrEx>
        <w:trPr>
          <w:trHeight w:val="126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行政检查</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eastAsia="zh-CN" w:bidi="ar"/>
              </w:rPr>
              <w:t>监督</w:t>
            </w:r>
            <w:bookmarkStart w:id="0" w:name="_GoBack"/>
            <w:bookmarkEnd w:id="0"/>
            <w:r>
              <w:rPr>
                <w:rFonts w:hint="eastAsia" w:ascii="仿宋_GB2312" w:hAnsi="Times New Roman" w:eastAsia="仿宋_GB2312"/>
                <w:color w:val="000000"/>
                <w:kern w:val="0"/>
                <w:szCs w:val="21"/>
                <w:lang w:eastAsia="zh-CN" w:bidi="ar"/>
              </w:rPr>
              <w:t>检</w:t>
            </w:r>
            <w:r>
              <w:rPr>
                <w:rFonts w:hint="eastAsia" w:ascii="仿宋_GB2312" w:hAnsi="Times New Roman" w:eastAsia="仿宋_GB2312"/>
                <w:color w:val="000000"/>
                <w:kern w:val="0"/>
                <w:szCs w:val="21"/>
                <w:lang w:bidi="ar"/>
              </w:rPr>
              <w:t>查</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eastAsia="zh-CN" w:bidi="ar"/>
              </w:rPr>
              <w:t>检</w:t>
            </w:r>
            <w:r>
              <w:rPr>
                <w:rFonts w:hint="eastAsia" w:ascii="仿宋_GB2312" w:hAnsi="Times New Roman" w:eastAsia="仿宋_GB2312"/>
                <w:color w:val="000000"/>
                <w:kern w:val="0"/>
                <w:szCs w:val="21"/>
                <w:lang w:bidi="ar"/>
              </w:rPr>
              <w:t>查笔录</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eastAsia="zh-CN" w:bidi="ar"/>
              </w:rPr>
              <w:t>检</w:t>
            </w:r>
            <w:r>
              <w:rPr>
                <w:rFonts w:hint="eastAsia" w:ascii="仿宋_GB2312" w:hAnsi="Times New Roman" w:eastAsia="仿宋_GB2312"/>
                <w:color w:val="000000"/>
                <w:kern w:val="0"/>
                <w:szCs w:val="21"/>
                <w:lang w:bidi="ar"/>
              </w:rPr>
              <w:t>查现场</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检查人员</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进入检查现场时</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记录当事人或在场有关人员不配合调查笔录审核及签字的过程及结果</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离开检查现场时</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r>
              <w:rPr>
                <w:rFonts w:hint="eastAsia" w:ascii="仿宋_GB2312" w:hAnsi="Times New Roman" w:eastAsia="仿宋_GB2312"/>
                <w:color w:val="000000"/>
                <w:kern w:val="0"/>
                <w:szCs w:val="21"/>
                <w:lang w:bidi="ar"/>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Calibri"/>
                <w:color w:val="000000"/>
                <w:szCs w:val="21"/>
              </w:rPr>
            </w:pPr>
            <w:r>
              <w:rPr>
                <w:rFonts w:hint="eastAsia" w:ascii="仿宋_GB2312" w:eastAsia="仿宋_GB2312" w:cs="Calibri"/>
                <w:color w:val="000000"/>
                <w:szCs w:val="21"/>
              </w:rPr>
              <w:t>场景类</w:t>
            </w:r>
          </w:p>
        </w:tc>
        <w:tc>
          <w:tcPr>
            <w:tcW w:w="14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282" w:type="pct"/>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eastAsia="仿宋_GB2312" w:cs="Calibri"/>
                <w:color w:val="000000"/>
                <w:szCs w:val="21"/>
              </w:rPr>
            </w:pPr>
          </w:p>
        </w:tc>
        <w:tc>
          <w:tcPr>
            <w:tcW w:w="14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Cs w:val="21"/>
                <w:lang w:bidi="ar"/>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Times New Roman" w:eastAsia="仿宋_GB2312"/>
                <w:color w:val="000000"/>
                <w:kern w:val="0"/>
                <w:szCs w:val="21"/>
                <w:lang w:bidi="ar"/>
              </w:rPr>
            </w:pPr>
          </w:p>
        </w:tc>
        <w:tc>
          <w:tcPr>
            <w:tcW w:w="282" w:type="pct"/>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eastAsia="仿宋_GB2312" w:cs="Calibri"/>
                <w:color w:val="000000"/>
                <w:szCs w:val="21"/>
              </w:rPr>
            </w:pPr>
          </w:p>
        </w:tc>
        <w:tc>
          <w:tcPr>
            <w:tcW w:w="14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eastAsia="仿宋_GB2312" w:cs="Calibri"/>
                <w:color w:val="00000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C0E0B"/>
    <w:rsid w:val="54CC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2019-11-12T03:19:00Z</dcterms:created>
  <dc:creator>飞叶非也</dc:creator>
  <cp:lastModifiedBy>飞叶非也</cp:lastModifiedBy>
  <dcterms:modified xsi:type="dcterms:W3CDTF">2019-11-12T03:24:05Z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