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jc w:val="center"/>
        <w:textAlignment w:val="auto"/>
        <w:rPr>
          <w:rFonts w:hint="eastAsia" w:asciiTheme="majorEastAsia" w:hAnsiTheme="majorEastAsia" w:eastAsiaTheme="majorEastAsia" w:cstheme="majorEastAsia"/>
          <w:b/>
          <w:bCs/>
          <w:w w:val="90"/>
          <w:sz w:val="44"/>
          <w:szCs w:val="44"/>
          <w:lang w:val="en-US" w:eastAsia="zh-CN"/>
        </w:rPr>
      </w:pPr>
      <w:r>
        <w:rPr>
          <w:rFonts w:hint="eastAsia" w:asciiTheme="majorEastAsia" w:hAnsiTheme="majorEastAsia" w:eastAsiaTheme="majorEastAsia" w:cstheme="majorEastAsia"/>
          <w:b/>
          <w:bCs/>
          <w:w w:val="90"/>
          <w:sz w:val="44"/>
          <w:szCs w:val="44"/>
          <w:lang w:val="en-US" w:eastAsia="zh-CN"/>
        </w:rPr>
        <w:t>平顶山市城市管理局（平顶山市城市综合执法局）</w:t>
      </w:r>
    </w:p>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重大执法决定法制审核目录清单</w:t>
      </w:r>
    </w:p>
    <w:tbl>
      <w:tblPr>
        <w:tblStyle w:val="5"/>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255"/>
        <w:gridCol w:w="1078"/>
        <w:gridCol w:w="2809"/>
        <w:gridCol w:w="1132"/>
        <w:gridCol w:w="1268"/>
        <w:gridCol w:w="154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序号</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项 目 名 称</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权力类型</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法律依据</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提交部门</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审核部门</w:t>
            </w:r>
            <w:bookmarkStart w:id="0" w:name="_GoBack"/>
            <w:bookmarkEnd w:id="0"/>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应提交的审核资料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对排水户向城镇排水设施排放污水的监管</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《城镇排水与污水处理条例》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行政检查档案材料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1.是否双随机2.检查依据3.检查结果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对城镇燃气的监管</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《城镇燃气条例》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行政检查档案材料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1.是否双随机2.检查依据3.检查结果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依法保护城市绿地的监管</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《河南省城市绿地实施办法》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行政检查档案材料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1.是否双随机2.检查依据3.检查结果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对设置大型户外广告及在城市建筑物、设施上悬挂、张贴宣传品的监管</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《城市市容和环境卫生管理条例》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行政检查档案材料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1.是否双随机2.检查依据3.检查结果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城市污水处理费征收金额个人1万以上、单位5万元以上的</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行政征收</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《城镇排水与污水处理条例》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污管办</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1.申请程序2.申请内容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建筑垃圾处置费征收金额个人1万以上、单位5万元以上的</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行政征收</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《城市建筑垃圾管理规定》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1.申请程序2.申请内容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对城镇燃气经营的行政许可</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行政许可</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《城镇燃气条例》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行政审批科</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1.申请程序2.申请内容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对改变绿化规划、绿化用地的使用性质的行政许可</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行政许可</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《河南省城市绿地实施办法》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行政审批科</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1.申请程序2.申请内容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对挖掘城市道路的行政许可</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行政许可</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《城市道路管理条例》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行政审批科</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1.申请程序2.申请内容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对因工程建设需要拆除、改动、迁移供水、排水与污水处理设施的行政许可</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行政许可</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《河南省城市供水管理办法》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行政审批科</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申请材料</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1.申请程序2.申请内容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隐瞒有关情祝或者提供虚假材料申请房地产估价师注册的处罚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《注册房地产估价师管理办法》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以欺骗、贿赂等不正当手段取得注册建造师注册证书的处罚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《注册造价师管理规定》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以欺骗、贿赂等不正当手段取得勘察设计注册工程师注册证书的处罚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《注册造价师管理规定》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以欺骗、贿赂等不正当手段取得检测机构资质证书的处罚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《建设工程质量检测管理办法》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以欺骗、贿赂等不正当手段取得工程造价咨询企业资质的处罚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《工程造价咨询企业管理办法》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未办理注册建造师变更注册而继续执业的处罚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《注册建造师管理规定》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未按规定向买受人提供住宅质量保证书和住宅使用说明书行为的处罚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《建设工程质量管理条例》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施工单位取得资质证书或者安全生产许可证后，降低或者达不到规定的安全生产条件的处罚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《建设工程安全生产管理条例》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申请人隐瞒有关情况或者提供虚假材料申请工程造价咨询企业资质的处罚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《工程造价咨询企业管理办法》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涉及停业整顿、降低资质等级和吊销资质证书，暂扣、吊销安全生产许可证的违法行为的处罚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《建设工程安全生产管理条例》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挪用住房公积金的处罚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《住房公积金管理条例》</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勘察设计企业被责令限期办理后逾期不办理资质证书变更手续的处罚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《建设工程勘察设计资质管理规定》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勘察、设计单位违反规定，未按照抗震设防专项审查意见进行超限高层建筑工程勘察、设计的处罚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《建设工程勘察设计资质管理规定》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勘察、设计、施工、监理企业超越本单位资质等级承揽工程或者以欺骗手段取得资质证书承揽工程的处罚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《建设工程勘察设计资质管理规定》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建筑业企业隐瞒有关情况或者提供虚假材料进行建筑业企业资质申报，或者弄虚作假取得企业资质的处罚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《建筑企业资质管理规定》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26</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建筑施工企业隐瞒有关情况或者提供虚假材料申请安全生产许可证以及以欺骗、贿赂等不正当手段取得安全生产许可证的处罚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《建筑企业安全生产许可证管理规定》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监理企业以欺骗、贿赂等不正当手段取得工程监理企业资质证书的处罚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《工程监理企业资质管理规定》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28</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工程造价咨询企业被责令限期办理后逾期不办理资质证书变更手续的处罚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《工程造价咨询企业管理办法》</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29</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工程监理企业被责令限期办理后逾期不办理资质证书变更手续的处罚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《工程监理企业资质管理规定》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房地产开发企业隐瞒真实情况、弄虚作假骗取资质证书，涂改、出租、出借、转让、出卖资质证书的处罚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《房地产企业开发管理规定》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31</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房地产开发企业超越资质等级从事房地产开发经营，隐瞒真实情况、弄虚作假骗取资质证书或者涂改、出租、出房地产开发企业超越资质等级从事房地产开发经营，隐瞒真实情况、弄虚作假骗取资质证书或者涂改、出租、出借、转让、出卖资质证书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《房地产企业开发管理规定》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24"/>
                <w:szCs w:val="24"/>
                <w:vertAlign w:val="baseline"/>
                <w:lang w:val="en-US" w:eastAsia="zh-CN"/>
              </w:rPr>
              <w:t>1.执法程序2.适用法律法规条款及裁量标准3.证据资料或材料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w:t>
            </w:r>
          </w:p>
        </w:tc>
        <w:tc>
          <w:tcPr>
            <w:tcW w:w="4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房地产开发企业不按照规定办理变更手续行为的处罚</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《房地产企业开发管理规定》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执法支队</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政策法规科</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行政处罚案卷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32"/>
                <w:szCs w:val="32"/>
                <w:vertAlign w:val="baseline"/>
                <w:lang w:val="en-US" w:eastAsia="zh-CN" w:bidi="ar-SA"/>
              </w:rPr>
            </w:pPr>
            <w:r>
              <w:rPr>
                <w:rFonts w:hint="eastAsia" w:ascii="仿宋" w:hAnsi="仿宋" w:eastAsia="仿宋" w:cs="仿宋"/>
                <w:sz w:val="24"/>
                <w:szCs w:val="24"/>
                <w:vertAlign w:val="baseline"/>
                <w:lang w:val="en-US" w:eastAsia="zh-CN"/>
              </w:rPr>
              <w:t>1.执法程序2.适用法律法规条款及裁量标准3.证据资料或材料</w:t>
            </w:r>
          </w:p>
        </w:tc>
      </w:tr>
    </w:tbl>
    <w:p>
      <w:pPr>
        <w:rPr>
          <w:rFonts w:hint="eastAsia" w:ascii="仿宋" w:hAnsi="仿宋" w:eastAsia="仿宋" w:cs="仿宋"/>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注：适用一般程序做出的行政处罚均应依法进行法制审核。</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2724150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fldChar w:fldCharType="begin"/>
                          </w:r>
                          <w:r>
                            <w:rPr>
                              <w:rFonts w:hint="default" w:ascii="Times New Roman" w:hAnsi="Times New Roman" w:eastAsia="仿宋" w:cs="Times New Roman"/>
                              <w:sz w:val="24"/>
                              <w:szCs w:val="24"/>
                              <w:lang w:eastAsia="zh-CN"/>
                            </w:rPr>
                            <w:instrText xml:space="preserve"> PAGE  \* MERGEFORMAT </w:instrText>
                          </w:r>
                          <w:r>
                            <w:rPr>
                              <w:rFonts w:hint="default" w:ascii="Times New Roman" w:hAnsi="Times New Roman" w:eastAsia="仿宋" w:cs="Times New Roman"/>
                              <w:sz w:val="24"/>
                              <w:szCs w:val="24"/>
                              <w:lang w:eastAsia="zh-CN"/>
                            </w:rPr>
                            <w:fldChar w:fldCharType="separate"/>
                          </w:r>
                          <w:r>
                            <w:rPr>
                              <w:rFonts w:hint="default" w:ascii="Times New Roman" w:hAnsi="Times New Roman" w:eastAsia="仿宋" w:cs="Times New Roman"/>
                              <w:sz w:val="24"/>
                              <w:szCs w:val="24"/>
                              <w:lang w:eastAsia="zh-CN"/>
                            </w:rPr>
                            <w:t>1</w:t>
                          </w:r>
                          <w:r>
                            <w:rPr>
                              <w:rFonts w:hint="default" w:ascii="Times New Roman" w:hAnsi="Times New Roman" w:eastAsia="仿宋"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5pt;margin-top:0pt;height:144pt;width:144pt;mso-position-horizontal-relative:margin;mso-wrap-style:none;z-index:251658240;mso-width-relative:page;mso-height-relative:page;" filled="f" stroked="f" coordsize="21600,21600" o:gfxdata="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XQQl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2"/>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fldChar w:fldCharType="begin"/>
                    </w:r>
                    <w:r>
                      <w:rPr>
                        <w:rFonts w:hint="default" w:ascii="Times New Roman" w:hAnsi="Times New Roman" w:eastAsia="仿宋" w:cs="Times New Roman"/>
                        <w:sz w:val="24"/>
                        <w:szCs w:val="24"/>
                        <w:lang w:eastAsia="zh-CN"/>
                      </w:rPr>
                      <w:instrText xml:space="preserve"> PAGE  \* MERGEFORMAT </w:instrText>
                    </w:r>
                    <w:r>
                      <w:rPr>
                        <w:rFonts w:hint="default" w:ascii="Times New Roman" w:hAnsi="Times New Roman" w:eastAsia="仿宋" w:cs="Times New Roman"/>
                        <w:sz w:val="24"/>
                        <w:szCs w:val="24"/>
                        <w:lang w:eastAsia="zh-CN"/>
                      </w:rPr>
                      <w:fldChar w:fldCharType="separate"/>
                    </w:r>
                    <w:r>
                      <w:rPr>
                        <w:rFonts w:hint="default" w:ascii="Times New Roman" w:hAnsi="Times New Roman" w:eastAsia="仿宋" w:cs="Times New Roman"/>
                        <w:sz w:val="24"/>
                        <w:szCs w:val="24"/>
                        <w:lang w:eastAsia="zh-CN"/>
                      </w:rPr>
                      <w:t>1</w:t>
                    </w:r>
                    <w:r>
                      <w:rPr>
                        <w:rFonts w:hint="default" w:ascii="Times New Roman" w:hAnsi="Times New Roman" w:eastAsia="仿宋"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D1A2D"/>
    <w:rsid w:val="04F263E8"/>
    <w:rsid w:val="0D622769"/>
    <w:rsid w:val="0FE325FF"/>
    <w:rsid w:val="168A74F0"/>
    <w:rsid w:val="184C2CF4"/>
    <w:rsid w:val="1B457521"/>
    <w:rsid w:val="24CC77FE"/>
    <w:rsid w:val="282F1EDF"/>
    <w:rsid w:val="29C96892"/>
    <w:rsid w:val="2CEB4B81"/>
    <w:rsid w:val="32FE23CE"/>
    <w:rsid w:val="377E6189"/>
    <w:rsid w:val="3A3139D5"/>
    <w:rsid w:val="408653EE"/>
    <w:rsid w:val="409B1578"/>
    <w:rsid w:val="57265B8C"/>
    <w:rsid w:val="5E9D3DAB"/>
    <w:rsid w:val="5EEC2419"/>
    <w:rsid w:val="61BD1A2D"/>
    <w:rsid w:val="62240703"/>
    <w:rsid w:val="6BB53F5D"/>
    <w:rsid w:val="76204B44"/>
    <w:rsid w:val="7FA9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2020-06-10T07:57:00Z</dcterms:created>
  <dc:creator>Administrator</dc:creator>
  <cp:lastModifiedBy>lenovo</cp:lastModifiedBy>
  <cp:lastPrinted>2020-12-25T07:32:00Z</cp:lastPrinted>
  <dcterms:modified xsi:type="dcterms:W3CDTF">2021-01-05T01:50:40Z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