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bookmarkStart w:id="0" w:name="_GoBack"/>
      <w:bookmarkEnd w:id="0"/>
      <w:r>
        <w:rPr>
          <w:rFonts w:hint="eastAsia" w:ascii="方正小标宋简体" w:hAnsi="方正小标宋简体" w:eastAsia="方正小标宋简体" w:cs="方正小标宋简体"/>
          <w:b w:val="0"/>
          <w:bCs w:val="0"/>
          <w:color w:val="auto"/>
          <w:sz w:val="44"/>
          <w:szCs w:val="44"/>
          <w:highlight w:val="none"/>
          <w:lang w:eastAsia="zh-CN"/>
        </w:rPr>
        <w:t>平顶山市发展改革委</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202</w:t>
      </w:r>
      <w:r>
        <w:rPr>
          <w:rFonts w:hint="eastAsia" w:ascii="方正小标宋简体" w:hAnsi="方正小标宋简体" w:eastAsia="方正小标宋简体" w:cs="方正小标宋简体"/>
          <w:b w:val="0"/>
          <w:bCs w:val="0"/>
          <w:color w:val="auto"/>
          <w:sz w:val="44"/>
          <w:szCs w:val="44"/>
          <w:highlight w:val="none"/>
          <w:lang w:val="en-US" w:eastAsia="zh-CN"/>
        </w:rPr>
        <w:t>3</w:t>
      </w:r>
      <w:r>
        <w:rPr>
          <w:rFonts w:hint="eastAsia" w:ascii="方正小标宋简体" w:hAnsi="方正小标宋简体" w:eastAsia="方正小标宋简体" w:cs="方正小标宋简体"/>
          <w:b w:val="0"/>
          <w:bCs w:val="0"/>
          <w:color w:val="auto"/>
          <w:sz w:val="44"/>
          <w:szCs w:val="44"/>
          <w:highlight w:val="none"/>
        </w:rPr>
        <w:t>年度法治政府建设情况报告</w:t>
      </w:r>
    </w:p>
    <w:p>
      <w:pPr>
        <w:pStyle w:val="1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469" w:beforeLines="150" w:beforeAutospacing="0" w:after="0" w:afterAutospacing="0" w:line="600" w:lineRule="exact"/>
        <w:ind w:left="0" w:leftChars="0" w:right="0" w:rightChars="0" w:firstLine="0" w:firstLineChars="0"/>
        <w:jc w:val="center"/>
        <w:textAlignment w:val="auto"/>
        <w:rPr>
          <w:rFonts w:hint="eastAsia" w:ascii="仿宋_GB2312" w:hAnsi="仿宋_GB2312" w:eastAsia="仿宋_GB2312" w:cs="仿宋_GB2312"/>
          <w:color w:val="auto"/>
          <w:kern w:val="0"/>
          <w:sz w:val="34"/>
          <w:szCs w:val="34"/>
          <w:highlight w:val="none"/>
          <w:lang w:val="en-US" w:eastAsia="zh-CN" w:bidi="ar"/>
        </w:rPr>
      </w:pPr>
      <w:r>
        <w:rPr>
          <w:rFonts w:hint="eastAsia" w:ascii="仿宋_GB2312" w:hAnsi="仿宋_GB2312" w:eastAsia="仿宋_GB2312" w:cs="仿宋_GB2312"/>
          <w:color w:val="auto"/>
          <w:kern w:val="0"/>
          <w:sz w:val="34"/>
          <w:szCs w:val="34"/>
          <w:highlight w:val="none"/>
          <w:lang w:val="en-US" w:eastAsia="zh-CN" w:bidi="ar"/>
        </w:rPr>
        <w:t>平发改法规〔2024〕13号</w:t>
      </w:r>
    </w:p>
    <w:p>
      <w:pPr>
        <w:pStyle w:val="1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469" w:beforeLines="150" w:beforeAutospacing="0" w:after="0" w:afterAutospacing="0" w:line="600" w:lineRule="exact"/>
        <w:ind w:left="0" w:leftChars="0" w:right="0" w:rightChars="0" w:firstLine="680" w:firstLineChars="200"/>
        <w:jc w:val="both"/>
        <w:textAlignment w:val="auto"/>
        <w:rPr>
          <w:rStyle w:val="17"/>
          <w:rFonts w:hint="eastAsia" w:ascii="黑体" w:hAnsi="黑体" w:eastAsia="黑体" w:cs="黑体"/>
          <w:b w:val="0"/>
          <w:bCs/>
          <w:color w:val="auto"/>
          <w:sz w:val="34"/>
          <w:szCs w:val="34"/>
          <w:highlight w:val="none"/>
        </w:rPr>
      </w:pPr>
      <w:r>
        <w:rPr>
          <w:rFonts w:hint="eastAsia" w:ascii="仿宋_GB2312" w:hAnsi="仿宋_GB2312" w:eastAsia="仿宋_GB2312" w:cs="仿宋_GB2312"/>
          <w:color w:val="auto"/>
          <w:kern w:val="0"/>
          <w:sz w:val="34"/>
          <w:szCs w:val="34"/>
          <w:highlight w:val="none"/>
          <w:lang w:val="en-US" w:eastAsia="zh-CN" w:bidi="ar"/>
        </w:rPr>
        <w:t>2023年，市发改委紧密围绕市委全面依法治市委员会决策部署，着力发挥法治固根本、稳预期、利长远的保障作用，为推动经济和社会高质量发展提供了有力保障。</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firstLine="420" w:firstLineChars="0"/>
        <w:jc w:val="left"/>
        <w:textAlignment w:val="auto"/>
        <w:rPr>
          <w:rFonts w:hint="eastAsia" w:ascii="仿宋_GB2312" w:hAnsi="仿宋_GB2312" w:eastAsia="仿宋_GB2312" w:cs="仿宋_GB2312"/>
          <w:b w:val="0"/>
          <w:bCs w:val="0"/>
          <w:color w:val="auto"/>
          <w:sz w:val="34"/>
          <w:szCs w:val="34"/>
          <w:lang w:val="en-US" w:eastAsia="zh-CN"/>
        </w:rPr>
      </w:pPr>
      <w:r>
        <w:rPr>
          <w:rFonts w:hint="eastAsia" w:ascii="楷体" w:hAnsi="楷体" w:eastAsia="楷体" w:cs="楷体"/>
          <w:b w:val="0"/>
          <w:bCs w:val="0"/>
          <w:color w:val="auto"/>
          <w:sz w:val="34"/>
          <w:szCs w:val="34"/>
          <w:lang w:val="en-US" w:eastAsia="zh-CN"/>
        </w:rPr>
        <w:t>扛稳政治责任，全面深化部门法治建设</w:t>
      </w:r>
    </w:p>
    <w:p>
      <w:pPr>
        <w:numPr>
          <w:ilvl w:val="0"/>
          <w:numId w:val="2"/>
        </w:numPr>
        <w:ind w:left="5" w:leftChars="0" w:firstLine="875" w:firstLineChars="0"/>
        <w:jc w:val="both"/>
        <w:rPr>
          <w:rFonts w:hint="eastAsia" w:ascii="仿宋_GB2312" w:hAnsi="仿宋_GB2312" w:eastAsia="仿宋_GB2312" w:cs="仿宋_GB2312"/>
          <w:b w:val="0"/>
          <w:bCs w:val="0"/>
          <w:color w:val="auto"/>
          <w:kern w:val="2"/>
          <w:sz w:val="34"/>
          <w:szCs w:val="34"/>
          <w:lang w:val="en-US" w:eastAsia="zh-CN" w:bidi="ar-SA"/>
        </w:rPr>
      </w:pPr>
      <w:r>
        <w:rPr>
          <w:rFonts w:hint="eastAsia" w:ascii="仿宋_GB2312" w:hAnsi="仿宋_GB2312" w:eastAsia="仿宋_GB2312" w:cs="仿宋_GB2312"/>
          <w:b w:val="0"/>
          <w:bCs w:val="0"/>
          <w:color w:val="auto"/>
          <w:kern w:val="2"/>
          <w:sz w:val="34"/>
          <w:szCs w:val="34"/>
          <w:highlight w:val="none"/>
          <w:lang w:val="en-US" w:eastAsia="zh-CN" w:bidi="ar-SA"/>
        </w:rPr>
        <w:t>强化党建引领。旗帜鲜明讲政治，坚持尊法学法，用好“第一议题”学习制度。通过党组会议、主任办公会议及党组理论学习中心组学习法治相关的党中央重要会议、文件精神，确保全面正确履职。将党内主题教育成果转化为坚定思想、锤炼党性和指导实践、推动工作的强大力量，保障和监督法治政府建设。大力开展调查研究，委班子成员根据工作分工在调查研究中转作风摸实情破难题，形成《中央预算内投资项目实施中存在的问题》《平顶山市新型功能材料产业集群发展经验》《平顶山市现代物流业发展调研报告》《新型电力系统背景下的储能发展路径研究》等调研成果。</w:t>
      </w:r>
    </w:p>
    <w:p>
      <w:pPr>
        <w:numPr>
          <w:ilvl w:val="0"/>
          <w:numId w:val="2"/>
        </w:numPr>
        <w:ind w:left="5" w:leftChars="0" w:firstLine="875" w:firstLineChars="0"/>
        <w:jc w:val="both"/>
        <w:rPr>
          <w:rFonts w:hint="eastAsia" w:ascii="仿宋_GB2312" w:hAnsi="仿宋_GB2312" w:eastAsia="仿宋_GB2312" w:cs="仿宋_GB2312"/>
          <w:b w:val="0"/>
          <w:bCs w:val="0"/>
          <w:color w:val="auto"/>
          <w:kern w:val="2"/>
          <w:sz w:val="34"/>
          <w:szCs w:val="34"/>
          <w:lang w:val="en-US" w:eastAsia="zh-CN" w:bidi="ar-SA"/>
        </w:rPr>
      </w:pPr>
      <w:r>
        <w:rPr>
          <w:rFonts w:hint="eastAsia" w:ascii="仿宋_GB2312" w:hAnsi="仿宋_GB2312" w:eastAsia="仿宋_GB2312" w:cs="仿宋_GB2312"/>
          <w:b w:val="0"/>
          <w:bCs w:val="0"/>
          <w:color w:val="auto"/>
          <w:kern w:val="2"/>
          <w:sz w:val="34"/>
          <w:szCs w:val="34"/>
          <w:lang w:val="en-US" w:eastAsia="zh-CN" w:bidi="ar-SA"/>
        </w:rPr>
        <w:t>贯彻党的要求。聚焦市委十届四次全会提出的“两城”建设重点任务，推动法治建设责任落实。坚持链式思维，在研究部署上突出谋划到位，重点培育7 大产业集群、12 条重点产业链。坚持人民为中心的发展思想，在组织领导上突出责任到位，主动对接国家和省重大战略，持续发挥市重点民生实事牵总协调职能。通过科学编制立法规划和推动立法专题调研等方式，启动《白龟湖科创新城发展促进条例》制定筹备工作，并牵头编制《平顶山市白龟湖科创新城产业发展规划》《关于支持平顶山市白龟湖科创新城高水平建设的若干措施》。</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firstLine="420" w:firstLineChars="0"/>
        <w:jc w:val="left"/>
        <w:textAlignment w:val="auto"/>
        <w:rPr>
          <w:rFonts w:hint="eastAsia" w:ascii="楷体" w:hAnsi="楷体" w:eastAsia="楷体" w:cs="楷体"/>
          <w:b w:val="0"/>
          <w:bCs w:val="0"/>
          <w:color w:val="auto"/>
          <w:sz w:val="34"/>
          <w:szCs w:val="34"/>
          <w:lang w:val="en-US" w:eastAsia="zh-CN"/>
        </w:rPr>
      </w:pPr>
      <w:r>
        <w:rPr>
          <w:rFonts w:hint="eastAsia" w:ascii="楷体" w:hAnsi="楷体" w:eastAsia="楷体" w:cs="楷体"/>
          <w:b w:val="0"/>
          <w:bCs w:val="0"/>
          <w:color w:val="auto"/>
          <w:sz w:val="34"/>
          <w:szCs w:val="34"/>
          <w:lang w:val="en-US" w:eastAsia="zh-CN"/>
        </w:rPr>
        <w:t>强化统筹协调，持续提升行政执法质效</w:t>
      </w:r>
    </w:p>
    <w:p>
      <w:pPr>
        <w:keepNext w:val="0"/>
        <w:keepLines w:val="0"/>
        <w:pageBreakBefore w:val="0"/>
        <w:widowControl/>
        <w:numPr>
          <w:ilvl w:val="0"/>
          <w:numId w:val="3"/>
        </w:numPr>
        <w:suppressLineNumbers w:val="0"/>
        <w:tabs>
          <w:tab w:val="left" w:pos="0"/>
        </w:tabs>
        <w:kinsoku/>
        <w:wordWrap/>
        <w:overflowPunct/>
        <w:topLinePunct w:val="0"/>
        <w:autoSpaceDE/>
        <w:autoSpaceDN/>
        <w:bidi w:val="0"/>
        <w:adjustRightInd w:val="0"/>
        <w:snapToGrid w:val="0"/>
        <w:spacing w:beforeAutospacing="0" w:afterAutospacing="0" w:line="600" w:lineRule="exact"/>
        <w:ind w:left="5" w:leftChars="0" w:firstLine="680" w:firstLineChars="200"/>
        <w:jc w:val="both"/>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eastAsia="仿宋_GB2312" w:cs="仿宋_GB2312"/>
          <w:color w:val="auto"/>
          <w:kern w:val="2"/>
          <w:sz w:val="34"/>
          <w:szCs w:val="34"/>
          <w:lang w:val="en-US" w:eastAsia="zh-CN" w:bidi="ar-SA"/>
        </w:rPr>
        <w:t>防范化解风险，促发展稳大局。</w:t>
      </w:r>
      <w:r>
        <w:rPr>
          <w:rFonts w:hint="eastAsia" w:ascii="仿宋_GB2312" w:hAnsi="仿宋_GB2312" w:eastAsia="仿宋_GB2312" w:cs="仿宋_GB2312"/>
          <w:b w:val="0"/>
          <w:bCs w:val="0"/>
          <w:color w:val="auto"/>
          <w:kern w:val="2"/>
          <w:sz w:val="34"/>
          <w:szCs w:val="34"/>
          <w:lang w:val="en-US" w:eastAsia="zh-CN" w:bidi="ar-SA"/>
        </w:rPr>
        <w:t>推进党的领导制度化、法治化，</w:t>
      </w:r>
      <w:r>
        <w:rPr>
          <w:rFonts w:hint="eastAsia" w:ascii="仿宋_GB2312" w:hAnsi="仿宋_GB2312" w:eastAsia="仿宋_GB2312" w:cs="仿宋_GB2312"/>
          <w:color w:val="auto"/>
          <w:kern w:val="2"/>
          <w:sz w:val="34"/>
          <w:szCs w:val="34"/>
          <w:lang w:val="en-US" w:eastAsia="zh-CN" w:bidi="ar-SA"/>
        </w:rPr>
        <w:t>增强政治自觉，坚持和发展新时代“枫桥经验”，严格依法行政，将法治精神贯穿到重大规划出台、重大政策制定、重大事项改革、重大工程项目推进等全局工作中。积极参与平安鹰城建设相关工作，以法治保障城乡统筹发展，把问题解决在一线、矛盾化解在一线、目标落实在一线。配合“府院联动”要求推进诉源治理，重视成诉风险线索处置，助力防范和化解系统性风险。对《黄河保护法》《河南省行政合法性审查工作规定》等开展集中学习研讨，提升行政决策质效，加强矛盾纠纷源头预防。</w:t>
      </w:r>
    </w:p>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Autospacing="0" w:afterAutospacing="0" w:line="600" w:lineRule="exact"/>
        <w:ind w:left="6" w:leftChars="0" w:firstLine="680" w:firstLineChars="200"/>
        <w:jc w:val="both"/>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kern w:val="2"/>
          <w:sz w:val="34"/>
          <w:szCs w:val="34"/>
          <w:lang w:val="en-US" w:eastAsia="zh-CN" w:bidi="ar-SA"/>
        </w:rPr>
        <w:t>强化制度保障，理清发展路径。</w:t>
      </w:r>
      <w:r>
        <w:rPr>
          <w:rFonts w:hint="eastAsia" w:ascii="仿宋_GB2312" w:hAnsi="仿宋_GB2312" w:eastAsia="仿宋_GB2312" w:cs="仿宋_GB2312"/>
          <w:color w:val="auto"/>
          <w:sz w:val="34"/>
          <w:szCs w:val="34"/>
          <w:lang w:val="en-US" w:eastAsia="zh-CN"/>
        </w:rPr>
        <w:t>增强宏观政策取向一致性，通过</w:t>
      </w:r>
      <w:r>
        <w:rPr>
          <w:rFonts w:hint="eastAsia" w:ascii="仿宋_GB2312" w:hAnsi="仿宋_GB2312" w:eastAsia="仿宋_GB2312" w:cs="仿宋_GB2312"/>
          <w:color w:val="auto"/>
          <w:kern w:val="2"/>
          <w:sz w:val="34"/>
          <w:szCs w:val="34"/>
          <w:lang w:val="en-US" w:eastAsia="zh-CN" w:bidi="ar-SA"/>
        </w:rPr>
        <w:t>制发《关于贯彻落实领导干部应知应会法律法规清单制度的实施意见》《关于进一步加强和规范公平竞争审查工作的通知》，树牢“制度为先、规则为先”理念,不断规范业务操作和管理。大力推动公平竞争审查制度实施，规范健全内部特定机构统一审查机制，优化审查方式，提高审查质量。立足当前、着眼长远，开展市“十四五”规划实施中期评估，印发《市“十四五”公共服务和社会保障规划》《平顶山市数字经济发展规划（2023-2030）》等专项规划，完善“十四五”规划体系。</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firstLine="420" w:firstLineChars="0"/>
        <w:jc w:val="left"/>
        <w:textAlignment w:val="auto"/>
        <w:rPr>
          <w:rFonts w:hint="eastAsia" w:ascii="楷体" w:hAnsi="楷体" w:eastAsia="楷体" w:cs="楷体"/>
          <w:b w:val="0"/>
          <w:bCs w:val="0"/>
          <w:color w:val="auto"/>
          <w:sz w:val="34"/>
          <w:szCs w:val="34"/>
          <w:lang w:val="en-US" w:eastAsia="zh-CN"/>
        </w:rPr>
      </w:pPr>
      <w:r>
        <w:rPr>
          <w:rFonts w:hint="eastAsia" w:ascii="楷体" w:hAnsi="楷体" w:eastAsia="楷体" w:cs="楷体"/>
          <w:b w:val="0"/>
          <w:bCs w:val="0"/>
          <w:color w:val="auto"/>
          <w:sz w:val="34"/>
          <w:szCs w:val="34"/>
          <w:lang w:val="en-US" w:eastAsia="zh-CN"/>
        </w:rPr>
        <w:t>用好执法监督，大力推进普法宣传</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Autospacing="0" w:afterAutospacing="0" w:line="600" w:lineRule="exact"/>
        <w:ind w:left="0" w:leftChars="0" w:firstLine="680" w:firstLineChars="200"/>
        <w:jc w:val="both"/>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eastAsia="仿宋_GB2312" w:cs="仿宋_GB2312"/>
          <w:color w:val="auto"/>
          <w:kern w:val="2"/>
          <w:sz w:val="34"/>
          <w:szCs w:val="34"/>
          <w:lang w:val="en-US" w:eastAsia="zh-CN" w:bidi="ar-SA"/>
        </w:rPr>
        <w:t>强化宗旨意识，自觉接受监督，确保行政权力规范运行。自觉接受人大监督、民主监督，坚持把吸纳人大代表、政协委员的意见建议作为推动发展改革工作的重要途径。</w:t>
      </w:r>
      <w:commentRangeStart w:id="0"/>
      <w:r>
        <w:rPr>
          <w:rFonts w:hint="eastAsia" w:ascii="仿宋_GB2312" w:hAnsi="仿宋_GB2312" w:eastAsia="仿宋_GB2312" w:cs="仿宋_GB2312"/>
          <w:color w:val="auto"/>
          <w:kern w:val="2"/>
          <w:sz w:val="34"/>
          <w:szCs w:val="34"/>
          <w:lang w:val="en-US" w:eastAsia="zh-CN" w:bidi="ar-SA"/>
        </w:rPr>
        <w:t>2023年，办理人大建议20件，答复68件政协提案，全部按时办复</w:t>
      </w:r>
      <w:commentRangeEnd w:id="0"/>
      <w:r>
        <w:rPr>
          <w:rFonts w:hint="eastAsia" w:ascii="仿宋_GB2312" w:hAnsi="仿宋_GB2312" w:eastAsia="仿宋_GB2312" w:cs="仿宋_GB2312"/>
          <w:color w:val="auto"/>
          <w:kern w:val="2"/>
          <w:sz w:val="34"/>
          <w:szCs w:val="34"/>
          <w:lang w:val="en-US" w:eastAsia="zh-CN" w:bidi="ar-SA"/>
        </w:rPr>
        <w:commentReference w:id="0"/>
      </w:r>
      <w:r>
        <w:rPr>
          <w:rFonts w:hint="eastAsia" w:ascii="仿宋_GB2312" w:hAnsi="仿宋_GB2312" w:eastAsia="仿宋_GB2312" w:cs="仿宋_GB2312"/>
          <w:b w:val="0"/>
          <w:bCs w:val="0"/>
          <w:color w:val="auto"/>
          <w:kern w:val="2"/>
          <w:sz w:val="34"/>
          <w:szCs w:val="34"/>
          <w:lang w:val="en-US" w:eastAsia="zh-CN" w:bidi="ar-SA"/>
        </w:rPr>
        <w:t>。切实开展政务公开，</w:t>
      </w:r>
      <w:r>
        <w:rPr>
          <w:rFonts w:hint="eastAsia" w:ascii="仿宋_GB2312" w:hAnsi="仿宋_GB2312" w:eastAsia="仿宋_GB2312" w:cs="仿宋_GB2312"/>
          <w:color w:val="auto"/>
          <w:sz w:val="34"/>
          <w:szCs w:val="34"/>
          <w:highlight w:val="none"/>
          <w:lang w:val="en-US" w:eastAsia="zh-CN"/>
        </w:rPr>
        <w:t>主动向社会公开发展改革政策文件，详细、规范解读，保障群众知情权、参与权和监督权。</w:t>
      </w:r>
      <w:r>
        <w:rPr>
          <w:rFonts w:hint="eastAsia" w:ascii="仿宋_GB2312" w:hAnsi="仿宋_GB2312" w:eastAsia="仿宋_GB2312" w:cs="仿宋_GB2312"/>
          <w:color w:val="auto"/>
          <w:kern w:val="2"/>
          <w:sz w:val="34"/>
          <w:szCs w:val="34"/>
          <w:lang w:val="en-US" w:eastAsia="zh-CN" w:bidi="ar-SA"/>
        </w:rPr>
        <w:t>2023年，委门户网站共发布政府信息公开数据939条，其中公示公告244条，政策解读85条，工作动态570条，其他信息33条，意见征集40期，新建3个专题专栏，回复群众来件4条。</w:t>
      </w:r>
    </w:p>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Autospacing="0" w:afterAutospacing="0" w:line="600" w:lineRule="exact"/>
        <w:ind w:left="0" w:leftChars="0" w:firstLine="680" w:firstLineChars="200"/>
        <w:jc w:val="both"/>
        <w:textAlignment w:val="auto"/>
        <w:rPr>
          <w:rFonts w:hint="eastAsia" w:ascii="仿宋_GB2312" w:hAnsi="仿宋_GB2312" w:eastAsia="仿宋_GB2312" w:cs="仿宋_GB2312"/>
          <w:color w:val="auto"/>
          <w:kern w:val="0"/>
          <w:sz w:val="34"/>
          <w:szCs w:val="34"/>
          <w:lang w:val="en-US" w:eastAsia="zh-CN" w:bidi="ar"/>
        </w:rPr>
      </w:pPr>
      <w:r>
        <w:rPr>
          <w:rFonts w:hint="eastAsia" w:ascii="仿宋_GB2312" w:hAnsi="仿宋_GB2312" w:eastAsia="仿宋_GB2312" w:cs="仿宋_GB2312"/>
          <w:color w:val="auto"/>
          <w:kern w:val="2"/>
          <w:sz w:val="34"/>
          <w:szCs w:val="34"/>
          <w:lang w:val="en-US" w:eastAsia="zh-CN" w:bidi="ar-SA"/>
        </w:rPr>
        <w:t>坚持系统观念，推进“八五”普法，深化府院、府检联动要求。</w:t>
      </w:r>
      <w:r>
        <w:rPr>
          <w:rFonts w:hint="eastAsia" w:ascii="仿宋_GB2312" w:hAnsi="仿宋_GB2312" w:eastAsia="仿宋_GB2312" w:cs="仿宋_GB2312"/>
          <w:b w:val="0"/>
          <w:color w:val="auto"/>
          <w:kern w:val="2"/>
          <w:sz w:val="34"/>
          <w:szCs w:val="34"/>
          <w:lang w:val="en-US" w:eastAsia="zh-CN" w:bidi="ar-SA"/>
        </w:rPr>
        <w:t>坚持发展需求与普法宣传相结合，</w:t>
      </w:r>
      <w:r>
        <w:rPr>
          <w:rFonts w:hint="eastAsia" w:ascii="仿宋_GB2312" w:hAnsi="仿宋_GB2312" w:eastAsia="仿宋_GB2312" w:cs="仿宋_GB2312"/>
          <w:i w:val="0"/>
          <w:color w:val="auto"/>
          <w:kern w:val="0"/>
          <w:sz w:val="34"/>
          <w:szCs w:val="34"/>
          <w:u w:val="none"/>
          <w:lang w:val="en-US" w:eastAsia="zh-CN" w:bidi="ar"/>
        </w:rPr>
        <w:t>把法治宣传教育工作纳入国民经济和社会发展年度发展计划，确保法治宣传教育工作与经济社会发展的有效衔接和平衡发展。认真落实“谁执法谁普法”普法责任，</w:t>
      </w:r>
      <w:r>
        <w:rPr>
          <w:rFonts w:hint="eastAsia" w:ascii="仿宋_GB2312" w:hAnsi="仿宋_GB2312" w:eastAsia="仿宋_GB2312" w:cs="仿宋_GB2312"/>
          <w:color w:val="auto"/>
          <w:kern w:val="0"/>
          <w:sz w:val="34"/>
          <w:szCs w:val="34"/>
          <w:lang w:val="en-US" w:eastAsia="zh-CN" w:bidi="ar"/>
        </w:rPr>
        <w:t>统筹</w:t>
      </w:r>
      <w:r>
        <w:rPr>
          <w:rFonts w:hint="eastAsia" w:ascii="仿宋_GB2312" w:hAnsi="仿宋_GB2312" w:eastAsia="仿宋_GB2312" w:cs="仿宋_GB2312"/>
          <w:i w:val="0"/>
          <w:color w:val="auto"/>
          <w:kern w:val="0"/>
          <w:sz w:val="34"/>
          <w:szCs w:val="34"/>
          <w:u w:val="none"/>
          <w:lang w:val="en-US" w:eastAsia="zh-CN" w:bidi="ar"/>
        </w:rPr>
        <w:t>组织全市“6·14信用记录关爱日”和节能宣传月（全国低碳日）宣传教育</w:t>
      </w:r>
      <w:r>
        <w:rPr>
          <w:rFonts w:hint="eastAsia" w:ascii="仿宋_GB2312" w:hAnsi="仿宋_GB2312" w:eastAsia="仿宋_GB2312" w:cs="仿宋_GB2312"/>
          <w:color w:val="auto"/>
          <w:sz w:val="34"/>
          <w:szCs w:val="34"/>
          <w:highlight w:val="none"/>
          <w:lang w:eastAsia="zh-CN"/>
        </w:rPr>
        <w:t>。</w:t>
      </w:r>
      <w:r>
        <w:rPr>
          <w:rFonts w:hint="eastAsia" w:ascii="仿宋_GB2312" w:hAnsi="仿宋_GB2312" w:eastAsia="仿宋_GB2312" w:cs="仿宋_GB2312"/>
          <w:color w:val="auto"/>
          <w:kern w:val="2"/>
          <w:sz w:val="34"/>
          <w:szCs w:val="34"/>
          <w:lang w:val="en-US" w:eastAsia="zh-CN" w:bidi="ar-SA"/>
        </w:rPr>
        <w:t>落实《平顶山市以案释法工作制度》要求，制发《关于在市发改系统全面推行典型案例筛选制度案例库制度典型案例发布制度和以案释法宣讲制度的实施意见》</w:t>
      </w:r>
      <w:r>
        <w:rPr>
          <w:rFonts w:hint="eastAsia" w:ascii="仿宋_GB2312" w:hAnsi="仿宋_GB2312" w:eastAsia="仿宋_GB2312" w:cs="仿宋_GB2312"/>
          <w:color w:val="auto"/>
          <w:kern w:val="0"/>
          <w:sz w:val="34"/>
          <w:szCs w:val="34"/>
          <w:lang w:val="en-US" w:eastAsia="zh-CN" w:bidi="ar"/>
        </w:rPr>
        <w:t>。</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firstLine="420" w:firstLineChars="0"/>
        <w:jc w:val="left"/>
        <w:textAlignment w:val="auto"/>
        <w:rPr>
          <w:rFonts w:hint="eastAsia" w:ascii="楷体" w:hAnsi="楷体" w:eastAsia="楷体" w:cs="楷体"/>
          <w:b w:val="0"/>
          <w:bCs w:val="0"/>
          <w:color w:val="auto"/>
          <w:sz w:val="34"/>
          <w:szCs w:val="34"/>
          <w:lang w:val="en-US" w:eastAsia="zh-CN"/>
        </w:rPr>
      </w:pPr>
      <w:r>
        <w:rPr>
          <w:rFonts w:hint="eastAsia" w:ascii="楷体" w:hAnsi="楷体" w:eastAsia="楷体" w:cs="楷体"/>
          <w:b w:val="0"/>
          <w:bCs w:val="0"/>
          <w:color w:val="auto"/>
          <w:sz w:val="34"/>
          <w:szCs w:val="34"/>
          <w:lang w:val="en-US" w:eastAsia="zh-CN"/>
        </w:rPr>
        <w:t>聚焦主责主业，打造“六最”营商环境</w:t>
      </w:r>
    </w:p>
    <w:p>
      <w:pPr>
        <w:pStyle w:val="4"/>
        <w:keepNext w:val="0"/>
        <w:keepLines w:val="0"/>
        <w:pageBreakBefore w:val="0"/>
        <w:widowControl w:val="0"/>
        <w:numPr>
          <w:ilvl w:val="0"/>
          <w:numId w:val="5"/>
        </w:numPr>
        <w:kinsoku/>
        <w:wordWrap/>
        <w:overflowPunct/>
        <w:topLinePunct w:val="0"/>
        <w:autoSpaceDE/>
        <w:autoSpaceDN/>
        <w:bidi w:val="0"/>
        <w:adjustRightInd w:val="0"/>
        <w:snapToGrid w:val="0"/>
        <w:spacing w:before="0" w:beforeAutospacing="0" w:after="0" w:afterAutospacing="0" w:line="600" w:lineRule="exact"/>
        <w:ind w:left="0" w:leftChars="0" w:firstLine="680" w:firstLineChars="200"/>
        <w:jc w:val="both"/>
        <w:textAlignment w:val="auto"/>
        <w:rPr>
          <w:rFonts w:hint="eastAsia" w:ascii="仿宋_GB2312" w:hAnsi="仿宋_GB2312" w:eastAsia="仿宋_GB2312" w:cs="仿宋_GB2312"/>
          <w:b w:val="0"/>
          <w:bCs w:val="0"/>
          <w:color w:val="auto"/>
          <w:kern w:val="0"/>
          <w:sz w:val="34"/>
          <w:szCs w:val="34"/>
          <w:highlight w:val="none"/>
          <w:lang w:val="en-US" w:eastAsia="zh-CN" w:bidi="ar"/>
        </w:rPr>
      </w:pPr>
      <w:r>
        <w:rPr>
          <w:rFonts w:hint="eastAsia" w:ascii="仿宋_GB2312" w:hAnsi="仿宋_GB2312" w:eastAsia="仿宋_GB2312" w:cs="仿宋_GB2312"/>
          <w:b w:val="0"/>
          <w:bCs w:val="0"/>
          <w:color w:val="auto"/>
          <w:kern w:val="2"/>
          <w:sz w:val="34"/>
          <w:szCs w:val="34"/>
          <w:highlight w:val="none"/>
          <w:lang w:val="en-US" w:eastAsia="zh-CN" w:bidi="ar-SA"/>
        </w:rPr>
        <w:t>优化营商环境，服务高质量发展。</w:t>
      </w:r>
      <w:r>
        <w:rPr>
          <w:rFonts w:hint="eastAsia" w:ascii="仿宋_GB2312" w:hAnsi="仿宋_GB2312" w:eastAsia="仿宋_GB2312" w:cs="仿宋_GB2312"/>
          <w:b w:val="0"/>
          <w:bCs w:val="0"/>
          <w:i w:val="0"/>
          <w:color w:val="auto"/>
          <w:kern w:val="0"/>
          <w:sz w:val="34"/>
          <w:szCs w:val="34"/>
          <w:u w:val="none"/>
          <w:lang w:val="en-US" w:eastAsia="zh-CN" w:bidi="ar"/>
        </w:rPr>
        <w:t>着眼构建现代化产业体系，全力推进营商环境整改提升，争先进位。通过平顶山日报社旗下两报及各新媒体平台推出“打造一流营商环境”“万人助万企 发展添活力”等专题专栏，持续开展《平顶山市优化营商环境条例》宣传。成功举办河南省优化营商环境工作豫南片区座谈会和《河南省营商环境违法案件调查处理暂行办法》修订座谈会。以规则衔接和改革创新为关键手段，以市营商环境综合配套改革方案起草为载体，全面激发改革的叠加效应。积极推动我市营商环境系统性改革重塑，迭代</w:t>
      </w:r>
      <w:r>
        <w:rPr>
          <w:rFonts w:hint="eastAsia" w:ascii="仿宋_GB2312" w:hAnsi="仿宋_GB2312" w:eastAsia="仿宋_GB2312" w:cs="仿宋_GB2312"/>
          <w:b w:val="0"/>
          <w:bCs w:val="0"/>
          <w:color w:val="auto"/>
          <w:kern w:val="2"/>
          <w:sz w:val="34"/>
          <w:szCs w:val="34"/>
          <w:highlight w:val="none"/>
          <w:lang w:val="en-US" w:eastAsia="zh-CN" w:bidi="ar-SA"/>
        </w:rPr>
        <w:t>升级改革创新举措，推出复制推广营商环境创新试点改革举措49条。</w:t>
      </w:r>
    </w:p>
    <w:p>
      <w:pPr>
        <w:pStyle w:val="8"/>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beforeAutospacing="0" w:afterAutospacing="0" w:line="600" w:lineRule="exact"/>
        <w:ind w:left="0" w:leftChars="0" w:firstLine="680" w:firstLineChars="200"/>
        <w:jc w:val="both"/>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b w:val="0"/>
          <w:bCs w:val="0"/>
          <w:color w:val="auto"/>
          <w:kern w:val="2"/>
          <w:sz w:val="34"/>
          <w:szCs w:val="34"/>
          <w:highlight w:val="none"/>
          <w:lang w:val="en-US" w:eastAsia="zh-CN" w:bidi="ar-SA"/>
        </w:rPr>
        <w:t>推进政务诚信，助力高水平发展。</w:t>
      </w:r>
      <w:r>
        <w:rPr>
          <w:rFonts w:hint="eastAsia" w:ascii="仿宋_GB2312" w:hAnsi="仿宋_GB2312" w:eastAsia="仿宋_GB2312" w:cs="仿宋_GB2312"/>
          <w:b w:val="0"/>
          <w:bCs w:val="0"/>
          <w:color w:val="auto"/>
          <w:sz w:val="34"/>
          <w:szCs w:val="34"/>
          <w:highlight w:val="none"/>
          <w:lang w:val="en-US" w:eastAsia="zh-CN"/>
        </w:rPr>
        <w:t>推进“双公示”向“十公示”制度拓展。在常态化归集公示行政许可、行政处罚信息的基础上，进一步实现行政强制、行政确认、行政征收等八类信息归集公示，2023年，共归集公</w:t>
      </w:r>
      <w:r>
        <w:rPr>
          <w:rFonts w:hint="eastAsia" w:ascii="仿宋_GB2312" w:hAnsi="仿宋_GB2312" w:eastAsia="仿宋_GB2312" w:cs="仿宋_GB2312"/>
          <w:color w:val="auto"/>
          <w:sz w:val="34"/>
          <w:szCs w:val="34"/>
          <w:highlight w:val="none"/>
          <w:lang w:val="en-US" w:eastAsia="zh-CN"/>
        </w:rPr>
        <w:t>示相关信息近960万条。经不懈沟通协调，将政务诚信纳入政府目标考核体系。搭建政务诚信评价系统，重点监测政府部门被列入严重失信主体名单情况，对全市政府部门的信用状况按辖区、信用等级进行分析，实现即时预警、提前干预等功能。</w:t>
      </w:r>
    </w:p>
    <w:p>
      <w:pPr>
        <w:keepNext w:val="0"/>
        <w:keepLines w:val="0"/>
        <w:pageBreakBefore w:val="0"/>
        <w:widowControl/>
        <w:suppressLineNumbers w:val="0"/>
        <w:kinsoku/>
        <w:wordWrap/>
        <w:overflowPunct/>
        <w:topLinePunct w:val="0"/>
        <w:autoSpaceDN/>
        <w:bidi w:val="0"/>
        <w:adjustRightInd w:val="0"/>
        <w:snapToGrid w:val="0"/>
        <w:spacing w:beforeAutospacing="0" w:afterAutospacing="0" w:line="600" w:lineRule="exact"/>
        <w:jc w:val="both"/>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2023年，市发改委在推进法治政府建设上仍存在一些问题和不足，比如：法治观念意识认知仍需深化，制约监督机制还有待持续完善，普法宣教方法方式相对单一等。</w:t>
      </w:r>
    </w:p>
    <w:p>
      <w:pPr>
        <w:keepNext w:val="0"/>
        <w:keepLines w:val="0"/>
        <w:pageBreakBefore w:val="0"/>
        <w:widowControl/>
        <w:suppressLineNumbers w:val="0"/>
        <w:kinsoku/>
        <w:wordWrap/>
        <w:overflowPunct/>
        <w:topLinePunct w:val="0"/>
        <w:autoSpaceDN/>
        <w:bidi w:val="0"/>
        <w:adjustRightInd w:val="0"/>
        <w:snapToGrid w:val="0"/>
        <w:spacing w:beforeAutospacing="0" w:afterAutospacing="0" w:line="600" w:lineRule="exact"/>
        <w:jc w:val="both"/>
        <w:textAlignment w:val="auto"/>
        <w:rPr>
          <w:rFonts w:hint="eastAsia" w:ascii="仿宋_GB2312" w:hAnsi="仿宋_GB2312" w:eastAsia="仿宋_GB2312" w:cs="仿宋_GB2312"/>
          <w:color w:val="auto"/>
          <w:kern w:val="0"/>
          <w:sz w:val="34"/>
          <w:szCs w:val="34"/>
          <w:highlight w:val="none"/>
          <w:lang w:val="en-US" w:eastAsia="zh-CN" w:bidi="ar"/>
        </w:rPr>
      </w:pPr>
      <w:r>
        <w:rPr>
          <w:rFonts w:hint="eastAsia" w:ascii="仿宋_GB2312" w:hAnsi="仿宋_GB2312" w:eastAsia="仿宋_GB2312" w:cs="仿宋_GB2312"/>
          <w:color w:val="auto"/>
          <w:kern w:val="0"/>
          <w:sz w:val="34"/>
          <w:szCs w:val="34"/>
          <w:highlight w:val="none"/>
          <w:lang w:val="en-US" w:eastAsia="zh-CN" w:bidi="ar"/>
        </w:rPr>
        <w:t>2024年，市发改委将坚持认真贯彻落实</w:t>
      </w:r>
      <w:r>
        <w:rPr>
          <w:rFonts w:hint="eastAsia" w:ascii="仿宋_GB2312" w:hAnsi="仿宋_GB2312" w:eastAsia="仿宋_GB2312" w:cs="仿宋_GB2312"/>
          <w:color w:val="auto"/>
          <w:sz w:val="34"/>
          <w:szCs w:val="34"/>
          <w:highlight w:val="none"/>
          <w:lang w:val="en-US" w:eastAsia="zh-CN"/>
        </w:rPr>
        <w:t>《法治鹰城建设规划（2021-2025年）》和《平顶山市法治政府建设实施方案（2022-2025 年）》</w:t>
      </w:r>
      <w:r>
        <w:rPr>
          <w:rFonts w:hint="eastAsia" w:ascii="仿宋_GB2312" w:hAnsi="仿宋_GB2312" w:eastAsia="仿宋_GB2312" w:cs="仿宋_GB2312"/>
          <w:color w:val="auto"/>
          <w:kern w:val="0"/>
          <w:sz w:val="34"/>
          <w:szCs w:val="34"/>
          <w:highlight w:val="none"/>
          <w:lang w:val="en-US" w:eastAsia="zh-CN" w:bidi="ar"/>
        </w:rPr>
        <w:t>等法治建设规划方案，促进行政执法规范化，以高水平法治政府建设保障高质量转型发展、助推高效能社会治理。</w:t>
      </w:r>
    </w:p>
    <w:p>
      <w:pPr>
        <w:pStyle w:val="2"/>
        <w:rPr>
          <w:rFonts w:hint="eastAsia" w:ascii="仿宋_GB2312" w:hAnsi="仿宋_GB2312" w:eastAsia="仿宋_GB2312" w:cs="仿宋_GB2312"/>
          <w:color w:val="auto"/>
          <w:kern w:val="0"/>
          <w:sz w:val="34"/>
          <w:szCs w:val="34"/>
          <w:highlight w:val="none"/>
          <w:lang w:val="en-US" w:eastAsia="zh-CN" w:bidi="ar"/>
        </w:rPr>
      </w:pPr>
    </w:p>
    <w:p>
      <w:pPr>
        <w:pStyle w:val="2"/>
        <w:rPr>
          <w:rFonts w:hint="eastAsia" w:ascii="仿宋_GB2312" w:hAnsi="仿宋_GB2312" w:eastAsia="仿宋_GB2312" w:cs="仿宋_GB2312"/>
          <w:color w:val="auto"/>
          <w:kern w:val="0"/>
          <w:sz w:val="34"/>
          <w:szCs w:val="34"/>
          <w:highlight w:val="none"/>
          <w:lang w:val="en-US" w:eastAsia="zh-CN" w:bidi="ar"/>
        </w:rPr>
      </w:pPr>
    </w:p>
    <w:p>
      <w:pPr>
        <w:pStyle w:val="2"/>
        <w:rPr>
          <w:rFonts w:hint="default" w:ascii="仿宋_GB2312" w:hAnsi="仿宋_GB2312" w:eastAsia="仿宋_GB2312" w:cs="仿宋_GB2312"/>
          <w:color w:val="auto"/>
          <w:kern w:val="0"/>
          <w:sz w:val="34"/>
          <w:szCs w:val="34"/>
          <w:highlight w:val="none"/>
          <w:lang w:val="en-US" w:eastAsia="zh-CN" w:bidi="ar"/>
        </w:rPr>
      </w:pPr>
      <w:r>
        <w:rPr>
          <w:rFonts w:hint="eastAsia" w:ascii="仿宋_GB2312" w:hAnsi="仿宋_GB2312" w:eastAsia="仿宋_GB2312" w:cs="仿宋_GB2312"/>
          <w:color w:val="auto"/>
          <w:kern w:val="0"/>
          <w:sz w:val="34"/>
          <w:szCs w:val="34"/>
          <w:highlight w:val="none"/>
          <w:lang w:val="en-US" w:eastAsia="zh-CN" w:bidi="ar"/>
        </w:rPr>
        <w:t xml:space="preserve">       </w:t>
      </w:r>
      <w:r>
        <w:rPr>
          <w:rFonts w:hint="eastAsia" w:ascii="仿宋_GB2312" w:hAnsi="仿宋_GB2312" w:eastAsia="仿宋_GB2312" w:cs="仿宋_GB2312"/>
          <w:b w:val="0"/>
          <w:bCs/>
          <w:color w:val="auto"/>
          <w:kern w:val="0"/>
          <w:sz w:val="34"/>
          <w:szCs w:val="34"/>
          <w:highlight w:val="none"/>
          <w:lang w:val="en-US" w:eastAsia="zh-CN" w:bidi="ar"/>
        </w:rPr>
        <w:t xml:space="preserve">  2024年1月16日</w:t>
      </w:r>
    </w:p>
    <w:p>
      <w:pPr>
        <w:pStyle w:val="2"/>
        <w:jc w:val="left"/>
        <w:rPr>
          <w:rFonts w:hint="eastAsia"/>
        </w:rPr>
      </w:pPr>
      <w:r>
        <w:rPr>
          <w:rFonts w:hint="eastAsia" w:ascii="仿宋_GB2312" w:hAnsi="仿宋_GB2312" w:eastAsia="仿宋_GB2312" w:cs="仿宋_GB2312"/>
          <w:b w:val="0"/>
          <w:color w:val="auto"/>
          <w:kern w:val="0"/>
          <w:sz w:val="34"/>
          <w:szCs w:val="34"/>
          <w:highlight w:val="none"/>
          <w:lang w:val="en-US" w:eastAsia="zh-CN" w:bidi="ar"/>
        </w:rPr>
        <w:t>（此件有删减）</w:t>
      </w:r>
    </w:p>
    <w:sectPr>
      <w:footerReference r:id="rId7"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湛博" w:date="2023-12-13T15:04:00Z" w:initials="">
    <w:p w14:paraId="EF7FE897">
      <w:pPr>
        <w:pStyle w:val="6"/>
        <w:rPr>
          <w:rFonts w:hint="eastAsia" w:eastAsia="方正小标宋简体"/>
          <w:lang w:eastAsia="zh-CN"/>
        </w:rPr>
      </w:pPr>
      <w:r>
        <w:rPr>
          <w:rFonts w:hint="eastAsia"/>
          <w:lang w:eastAsia="zh-CN"/>
        </w:rPr>
        <w:t>办公室提供数据，与公开年报保持一致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EF7FE8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880"/>
      </w:pPr>
      <w:r>
        <w:separator/>
      </w:r>
    </w:p>
  </w:endnote>
  <w:endnote w:type="continuationSeparator" w:id="1">
    <w:p>
      <w:pPr>
        <w:spacing w:line="240" w:lineRule="auto"/>
        <w:ind w:firstLine="8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altName w:val="DejaVu Sans"/>
    <w:panose1 w:val="020B0604020202020204"/>
    <w:charset w:val="00"/>
    <w:family w:val="swiss"/>
    <w:pitch w:val="default"/>
    <w:sig w:usb0="E0002A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880"/>
      </w:pPr>
      <w:r>
        <w:separator/>
      </w:r>
    </w:p>
  </w:footnote>
  <w:footnote w:type="continuationSeparator" w:id="1">
    <w:p>
      <w:pPr>
        <w:spacing w:line="240" w:lineRule="auto"/>
        <w:ind w:firstLine="8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832AA"/>
    <w:multiLevelType w:val="singleLevel"/>
    <w:tmpl w:val="BAF832AA"/>
    <w:lvl w:ilvl="0" w:tentative="0">
      <w:start w:val="1"/>
      <w:numFmt w:val="decimal"/>
      <w:lvlText w:val="%1."/>
      <w:lvlJc w:val="left"/>
      <w:pPr>
        <w:ind w:left="425" w:hanging="425"/>
      </w:pPr>
      <w:rPr>
        <w:rFonts w:hint="default"/>
      </w:rPr>
    </w:lvl>
  </w:abstractNum>
  <w:abstractNum w:abstractNumId="1">
    <w:nsid w:val="F2BB7C8A"/>
    <w:multiLevelType w:val="singleLevel"/>
    <w:tmpl w:val="F2BB7C8A"/>
    <w:lvl w:ilvl="0" w:tentative="0">
      <w:start w:val="1"/>
      <w:numFmt w:val="chineseCounting"/>
      <w:suff w:val="nothing"/>
      <w:lvlText w:val="（%1）"/>
      <w:lvlJc w:val="left"/>
      <w:pPr>
        <w:ind w:left="0" w:firstLine="420"/>
      </w:pPr>
      <w:rPr>
        <w:rFonts w:hint="eastAsia"/>
      </w:rPr>
    </w:lvl>
  </w:abstractNum>
  <w:abstractNum w:abstractNumId="2">
    <w:nsid w:val="F3F2B9AC"/>
    <w:multiLevelType w:val="singleLevel"/>
    <w:tmpl w:val="F3F2B9AC"/>
    <w:lvl w:ilvl="0" w:tentative="0">
      <w:start w:val="1"/>
      <w:numFmt w:val="decimal"/>
      <w:lvlText w:val="%1."/>
      <w:lvlJc w:val="left"/>
      <w:pPr>
        <w:ind w:left="425" w:hanging="425"/>
      </w:pPr>
      <w:rPr>
        <w:rFonts w:hint="default"/>
      </w:rPr>
    </w:lvl>
  </w:abstractNum>
  <w:abstractNum w:abstractNumId="3">
    <w:nsid w:val="F76B63F4"/>
    <w:multiLevelType w:val="singleLevel"/>
    <w:tmpl w:val="F76B63F4"/>
    <w:lvl w:ilvl="0" w:tentative="0">
      <w:start w:val="1"/>
      <w:numFmt w:val="decimal"/>
      <w:lvlText w:val="%1."/>
      <w:lvlJc w:val="left"/>
      <w:pPr>
        <w:ind w:left="425" w:hanging="425"/>
      </w:pPr>
      <w:rPr>
        <w:rFonts w:hint="default"/>
      </w:rPr>
    </w:lvl>
  </w:abstractNum>
  <w:abstractNum w:abstractNumId="4">
    <w:nsid w:val="FD8F2BF7"/>
    <w:multiLevelType w:val="singleLevel"/>
    <w:tmpl w:val="FD8F2BF7"/>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湛博">
    <w15:presenceInfo w15:providerId="None" w15:userId="张湛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2FF1DE"/>
    <w:rsid w:val="2EFF7F2C"/>
    <w:rsid w:val="2FFFBE72"/>
    <w:rsid w:val="33FF83BC"/>
    <w:rsid w:val="3FEE6A64"/>
    <w:rsid w:val="5E7F4FFD"/>
    <w:rsid w:val="5FD71A26"/>
    <w:rsid w:val="5FF748AE"/>
    <w:rsid w:val="5FFEE04F"/>
    <w:rsid w:val="69DECC85"/>
    <w:rsid w:val="6B37E00F"/>
    <w:rsid w:val="6E7B5572"/>
    <w:rsid w:val="6EDEF7F9"/>
    <w:rsid w:val="6EEE067C"/>
    <w:rsid w:val="726FF45A"/>
    <w:rsid w:val="73FBB75C"/>
    <w:rsid w:val="76E2F27F"/>
    <w:rsid w:val="770F9A1B"/>
    <w:rsid w:val="776F1D26"/>
    <w:rsid w:val="77BB4584"/>
    <w:rsid w:val="77DB041C"/>
    <w:rsid w:val="7B9766A2"/>
    <w:rsid w:val="7CFA5D3E"/>
    <w:rsid w:val="7D7FA913"/>
    <w:rsid w:val="7D9DAC9D"/>
    <w:rsid w:val="7E1F2512"/>
    <w:rsid w:val="7EFDEF51"/>
    <w:rsid w:val="7F9FD243"/>
    <w:rsid w:val="7FCB8CEC"/>
    <w:rsid w:val="7FDF546B"/>
    <w:rsid w:val="9DF71F15"/>
    <w:rsid w:val="AFDFDACF"/>
    <w:rsid w:val="B93BE297"/>
    <w:rsid w:val="BDFF3700"/>
    <w:rsid w:val="BE5EF2C6"/>
    <w:rsid w:val="BE77ACD9"/>
    <w:rsid w:val="BFAE3D3D"/>
    <w:rsid w:val="BFEDFAF6"/>
    <w:rsid w:val="BFF7FEC9"/>
    <w:rsid w:val="C3BD410A"/>
    <w:rsid w:val="CF7C75FC"/>
    <w:rsid w:val="D3FFC5B0"/>
    <w:rsid w:val="D7DFE8AB"/>
    <w:rsid w:val="DB7FFD66"/>
    <w:rsid w:val="DBF54F14"/>
    <w:rsid w:val="DEF35F14"/>
    <w:rsid w:val="DF7DD288"/>
    <w:rsid w:val="DFFA6B8F"/>
    <w:rsid w:val="DFFE85AF"/>
    <w:rsid w:val="E3DD2F65"/>
    <w:rsid w:val="E5DB4868"/>
    <w:rsid w:val="E6E50750"/>
    <w:rsid w:val="E7EF74C5"/>
    <w:rsid w:val="EB2D5484"/>
    <w:rsid w:val="EB2FF1DE"/>
    <w:rsid w:val="EEE661E8"/>
    <w:rsid w:val="F3DFE0FE"/>
    <w:rsid w:val="F5BF9C5D"/>
    <w:rsid w:val="F65FC28F"/>
    <w:rsid w:val="F6FF96DE"/>
    <w:rsid w:val="FB5F3CE0"/>
    <w:rsid w:val="FB7F616A"/>
    <w:rsid w:val="FEF76A7A"/>
    <w:rsid w:val="FFAF740B"/>
    <w:rsid w:val="FFBE9980"/>
    <w:rsid w:val="FFEFA0C7"/>
    <w:rsid w:val="FFF74B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80" w:lineRule="exact"/>
      <w:ind w:firstLine="420" w:firstLineChars="200"/>
      <w:jc w:val="center"/>
    </w:pPr>
    <w:rPr>
      <w:rFonts w:ascii="Calibri" w:hAnsi="Calibri" w:eastAsia="方正小标宋简体" w:cs="Times New Roman"/>
      <w:kern w:val="2"/>
      <w:sz w:val="4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jc w:val="left"/>
      <w:outlineLvl w:val="2"/>
    </w:pPr>
    <w:rPr>
      <w:rFonts w:eastAsia="楷体"/>
      <w:sz w:val="32"/>
    </w:rPr>
  </w:style>
  <w:style w:type="character" w:default="1" w:styleId="16">
    <w:name w:val="Default Paragraph Font"/>
    <w:semiHidden/>
    <w:qFormat/>
    <w:uiPriority w:val="0"/>
  </w:style>
  <w:style w:type="table" w:default="1" w:styleId="15">
    <w:name w:val="Normal Table"/>
    <w:semiHidden/>
    <w:qFormat/>
    <w:uiPriority w:val="0"/>
    <w:tblPr>
      <w:tblStyle w:val="15"/>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annotation text"/>
    <w:basedOn w:val="1"/>
    <w:uiPriority w:val="0"/>
    <w:pPr>
      <w:jc w:val="left"/>
    </w:pPr>
  </w:style>
  <w:style w:type="paragraph" w:styleId="7">
    <w:name w:val="Body Text Indent"/>
    <w:basedOn w:val="1"/>
    <w:qFormat/>
    <w:uiPriority w:val="0"/>
    <w:pPr>
      <w:spacing w:after="120"/>
      <w:ind w:left="420" w:leftChars="200"/>
    </w:pPr>
  </w:style>
  <w:style w:type="paragraph" w:styleId="8">
    <w:name w:val="Body Text Indent 2"/>
    <w:basedOn w:val="1"/>
    <w:qFormat/>
    <w:uiPriority w:val="0"/>
    <w:pPr>
      <w:ind w:firstLine="632" w:firstLineChars="200"/>
    </w:pPr>
    <w:rPr>
      <w:rFonts w:eastAsia="楷体_GB2312"/>
      <w:szCs w:val="30"/>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unhideWhenUsed/>
    <w:qFormat/>
    <w:uiPriority w:val="99"/>
    <w:pPr>
      <w:widowControl w:val="0"/>
      <w:snapToGrid w:val="0"/>
      <w:spacing w:line="260" w:lineRule="auto"/>
      <w:ind w:firstLine="624" w:firstLineChars="200"/>
    </w:pPr>
    <w:rPr>
      <w:rFonts w:ascii="Times New Roman" w:hAnsi="Times New Roman" w:eastAsia="仿宋_GB2312" w:cs="Times New Roman"/>
      <w:kern w:val="2"/>
      <w:sz w:val="32"/>
      <w:szCs w:val="22"/>
      <w:lang w:val="en-US" w:eastAsia="zh-CN" w:bidi="ar-SA"/>
    </w:rPr>
  </w:style>
  <w:style w:type="paragraph" w:styleId="1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7"/>
    <w:unhideWhenUsed/>
    <w:qFormat/>
    <w:uiPriority w:val="99"/>
    <w:pPr>
      <w:ind w:firstLine="420" w:firstLineChars="200"/>
    </w:pPr>
    <w:rPr>
      <w:rFonts w:ascii="Calibri" w:hAnsi="Calibri" w:cs="宋体"/>
    </w:rPr>
  </w:style>
  <w:style w:type="character" w:styleId="17">
    <w:name w:val="Strong"/>
    <w:basedOn w:val="16"/>
    <w:qFormat/>
    <w:uiPriority w:val="0"/>
    <w:rPr>
      <w:b/>
    </w:rPr>
  </w:style>
  <w:style w:type="character" w:styleId="18">
    <w:name w:val="Emphasis"/>
    <w:basedOn w:val="16"/>
    <w:qFormat/>
    <w:uiPriority w:val="0"/>
    <w:rPr>
      <w:i/>
    </w:rPr>
  </w:style>
  <w:style w:type="character" w:styleId="19">
    <w:name w:val="Hyperlink"/>
    <w:basedOn w:val="16"/>
    <w:uiPriority w:val="0"/>
    <w:rPr>
      <w:color w:val="0000FF"/>
      <w:u w:val="single"/>
    </w:rPr>
  </w:style>
  <w:style w:type="character" w:customStyle="1" w:styleId="20">
    <w:name w:val="font11"/>
    <w:basedOn w:val="16"/>
    <w:qFormat/>
    <w:uiPriority w:val="0"/>
    <w:rPr>
      <w:rFonts w:hint="eastAsia" w:ascii="仿宋_GB2312" w:eastAsia="仿宋_GB2312" w:cs="仿宋_GB2312"/>
      <w:color w:val="000000"/>
      <w:sz w:val="24"/>
      <w:szCs w:val="24"/>
      <w:u w:val="none"/>
    </w:rPr>
  </w:style>
  <w:style w:type="character" w:customStyle="1" w:styleId="21">
    <w:name w:val="font21"/>
    <w:basedOn w:val="16"/>
    <w:uiPriority w:val="0"/>
    <w:rPr>
      <w:rFonts w:hint="default" w:ascii="Times New Roman" w:hAnsi="Times New Roman" w:cs="Times New Roman"/>
      <w:color w:val="000000"/>
      <w:sz w:val="24"/>
      <w:szCs w:val="24"/>
      <w:u w:val="none"/>
    </w:rPr>
  </w:style>
  <w:style w:type="paragraph" w:customStyle="1" w:styleId="22">
    <w:name w:val="UserStyle_0"/>
    <w:basedOn w:val="23"/>
    <w:next w:val="1"/>
    <w:qFormat/>
    <w:uiPriority w:val="99"/>
    <w:pPr>
      <w:spacing w:line="360" w:lineRule="auto"/>
    </w:pPr>
    <w:rPr>
      <w:rFonts w:eastAsia="黑体"/>
      <w:sz w:val="24"/>
    </w:rPr>
  </w:style>
  <w:style w:type="paragraph" w:customStyle="1" w:styleId="23">
    <w:name w:val="UserStyle_1"/>
    <w:basedOn w:val="1"/>
    <w:next w:val="1"/>
    <w:qFormat/>
    <w:uiPriority w:val="0"/>
    <w:pPr>
      <w:widowControl/>
      <w:adjustRightInd w:val="0"/>
      <w:snapToGrid w:val="0"/>
      <w:spacing w:line="580" w:lineRule="exact"/>
      <w:ind w:firstLine="360" w:firstLineChars="200"/>
      <w:jc w:val="left"/>
    </w:pPr>
    <w:rPr>
      <w:kern w:val="0"/>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4.33333333333333</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2023-03-19T00:09:00Z</dcterms:created>
  <dc:creator>张湛博</dc:creator>
  <cp:lastModifiedBy>user</cp:lastModifiedBy>
  <cp:lastPrinted>2024-01-10T00:05:51Z</cp:lastPrinted>
  <dcterms:modified xsi:type="dcterms:W3CDTF">2024-01-17T15:06:59Z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