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4502"/>
        <w:gridCol w:w="1623"/>
        <w:gridCol w:w="831"/>
        <w:gridCol w:w="1187"/>
        <w:gridCol w:w="4892"/>
      </w:tblGrid>
      <w:tr w14:paraId="00D92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13784" w:type="dxa"/>
            <w:gridSpan w:val="6"/>
            <w:tcBorders>
              <w:top w:val="nil"/>
              <w:left w:val="nil"/>
              <w:bottom w:val="nil"/>
              <w:right w:val="nil"/>
            </w:tcBorders>
            <w:noWrap/>
            <w:vAlign w:val="center"/>
          </w:tcPr>
          <w:p w14:paraId="4A32D2F0">
            <w:pPr>
              <w:keepNext w:val="0"/>
              <w:keepLines w:val="0"/>
              <w:widowControl w:val="0"/>
              <w:suppressLineNumbers w:val="0"/>
              <w:overflowPunct w:val="0"/>
              <w:spacing w:line="579" w:lineRule="exact"/>
              <w:jc w:val="left"/>
              <w:textAlignment w:val="center"/>
              <w:rPr>
                <w:rFonts w:hint="eastAsia" w:ascii="黑体" w:hAnsi="宋体" w:eastAsia="黑体" w:cs="黑体"/>
                <w:i w:val="0"/>
                <w:color w:val="000000"/>
                <w:kern w:val="0"/>
                <w:sz w:val="32"/>
                <w:szCs w:val="32"/>
                <w:u w:val="none"/>
                <w:lang w:val="en-US" w:eastAsia="zh-CN" w:bidi="ar"/>
              </w:rPr>
            </w:pPr>
            <w:r>
              <w:rPr>
                <w:rFonts w:hint="default" w:ascii="黑体" w:hAnsi="宋体" w:eastAsia="黑体" w:cs="黑体"/>
                <w:i w:val="0"/>
                <w:color w:val="000000"/>
                <w:kern w:val="0"/>
                <w:sz w:val="32"/>
                <w:szCs w:val="32"/>
                <w:u w:val="none"/>
                <w:lang w:val="en-US" w:eastAsia="zh-CN" w:bidi="ar"/>
              </w:rPr>
              <w:t>附件</w:t>
            </w:r>
            <w:r>
              <w:rPr>
                <w:rFonts w:hint="eastAsia" w:ascii="黑体" w:hAnsi="宋体" w:eastAsia="黑体" w:cs="黑体"/>
                <w:i w:val="0"/>
                <w:color w:val="000000"/>
                <w:kern w:val="0"/>
                <w:sz w:val="32"/>
                <w:szCs w:val="32"/>
                <w:u w:val="none"/>
                <w:lang w:val="en-US" w:eastAsia="zh-CN" w:bidi="ar"/>
              </w:rPr>
              <w:t>5</w:t>
            </w:r>
          </w:p>
          <w:p w14:paraId="0E2E93A7">
            <w:pPr>
              <w:keepNext w:val="0"/>
              <w:keepLines w:val="0"/>
              <w:widowControl w:val="0"/>
              <w:suppressLineNumbers w:val="0"/>
              <w:overflowPunct w:val="0"/>
              <w:spacing w:line="579" w:lineRule="exact"/>
              <w:jc w:val="left"/>
              <w:textAlignment w:val="center"/>
              <w:rPr>
                <w:rFonts w:hint="eastAsia" w:ascii="黑体" w:hAnsi="宋体" w:eastAsia="黑体" w:cs="黑体"/>
                <w:i w:val="0"/>
                <w:color w:val="000000"/>
                <w:kern w:val="0"/>
                <w:sz w:val="28"/>
                <w:szCs w:val="28"/>
                <w:u w:val="none"/>
                <w:lang w:val="en-US" w:eastAsia="zh-CN" w:bidi="ar"/>
              </w:rPr>
            </w:pPr>
          </w:p>
          <w:p w14:paraId="08FAFFB9">
            <w:pPr>
              <w:keepNext w:val="0"/>
              <w:keepLines w:val="0"/>
              <w:widowControl w:val="0"/>
              <w:suppressLineNumbers w:val="0"/>
              <w:overflowPunct w:val="0"/>
              <w:spacing w:line="700" w:lineRule="exact"/>
              <w:jc w:val="center"/>
              <w:textAlignment w:val="center"/>
              <w:rPr>
                <w:rFonts w:hint="eastAsia" w:ascii="方正小标宋_GBK" w:hAnsi="方正小标宋_GBK" w:eastAsia="方正小标宋_GBK" w:cs="方正小标宋_GBK"/>
                <w:i w:val="0"/>
                <w:color w:val="000000"/>
                <w:kern w:val="0"/>
                <w:sz w:val="40"/>
                <w:szCs w:val="40"/>
                <w:u w:val="none"/>
                <w:lang w:val="en-US" w:eastAsia="zh-CN" w:bidi="ar"/>
              </w:rPr>
            </w:pPr>
            <w:bookmarkStart w:id="0" w:name="_GoBack"/>
            <w:r>
              <w:rPr>
                <w:rFonts w:hint="eastAsia" w:ascii="方正小标宋_GBK" w:hAnsi="方正小标宋_GBK" w:eastAsia="方正小标宋_GBK" w:cs="方正小标宋_GBK"/>
                <w:i w:val="0"/>
                <w:color w:val="000000"/>
                <w:kern w:val="0"/>
                <w:sz w:val="40"/>
                <w:szCs w:val="40"/>
                <w:u w:val="none"/>
                <w:lang w:val="en-US" w:eastAsia="zh-CN" w:bidi="ar"/>
              </w:rPr>
              <w:t>平顶山市首批“免申即享”政策清单</w:t>
            </w:r>
          </w:p>
          <w:bookmarkEnd w:id="0"/>
          <w:p w14:paraId="22D6C6E2">
            <w:pPr>
              <w:overflowPunct w:val="0"/>
              <w:spacing w:line="579" w:lineRule="exact"/>
              <w:jc w:val="left"/>
              <w:rPr>
                <w:rFonts w:hint="eastAsia" w:ascii="宋体" w:hAnsi="宋体" w:eastAsia="宋体" w:cs="宋体"/>
                <w:i w:val="0"/>
                <w:color w:val="000000"/>
                <w:sz w:val="24"/>
                <w:szCs w:val="24"/>
                <w:u w:val="none"/>
              </w:rPr>
            </w:pPr>
          </w:p>
        </w:tc>
      </w:tr>
      <w:tr w14:paraId="1235E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4"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980C5D">
            <w:pPr>
              <w:keepNext w:val="0"/>
              <w:keepLines w:val="0"/>
              <w:widowControl/>
              <w:suppressLineNumbers w:val="0"/>
              <w:spacing w:line="40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序号</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F16450">
            <w:pPr>
              <w:keepNext w:val="0"/>
              <w:keepLines w:val="0"/>
              <w:widowControl/>
              <w:suppressLineNumbers w:val="0"/>
              <w:spacing w:line="40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政策内容</w:t>
            </w:r>
          </w:p>
        </w:tc>
        <w:tc>
          <w:tcPr>
            <w:tcW w:w="1623" w:type="dxa"/>
            <w:tcBorders>
              <w:top w:val="single" w:color="000000" w:sz="4" w:space="0"/>
              <w:left w:val="single" w:color="000000" w:sz="4" w:space="0"/>
              <w:bottom w:val="nil"/>
              <w:right w:val="single" w:color="000000" w:sz="4" w:space="0"/>
              <w:tl2br w:val="nil"/>
              <w:tr2bl w:val="nil"/>
            </w:tcBorders>
            <w:noWrap/>
            <w:vAlign w:val="center"/>
          </w:tcPr>
          <w:p w14:paraId="08E2BAC4">
            <w:r>
              <w:rPr>
                <w:rFonts w:hint="default" w:ascii="黑体" w:hAnsi="宋体" w:eastAsia="黑体" w:cs="黑体"/>
                <w:i w:val="0"/>
                <w:color w:val="000000"/>
                <w:kern w:val="0"/>
                <w:sz w:val="24"/>
                <w:szCs w:val="24"/>
                <w:u w:val="none"/>
                <w:lang w:val="en-US" w:eastAsia="zh-CN" w:bidi="ar"/>
              </w:rPr>
              <w:t>享受</w:t>
            </w:r>
          </w:p>
          <w:p w14:paraId="1C614EC2">
            <w:pPr>
              <w:keepNext w:val="0"/>
              <w:keepLines w:val="0"/>
              <w:widowControl/>
              <w:suppressLineNumbers w:val="0"/>
              <w:spacing w:line="40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主体</w:t>
            </w:r>
          </w:p>
        </w:tc>
        <w:tc>
          <w:tcPr>
            <w:tcW w:w="831" w:type="dxa"/>
            <w:tcBorders>
              <w:top w:val="single" w:color="000000" w:sz="4" w:space="0"/>
              <w:left w:val="single" w:color="000000" w:sz="4" w:space="0"/>
              <w:bottom w:val="nil"/>
              <w:right w:val="single" w:color="000000" w:sz="4" w:space="0"/>
              <w:tl2br w:val="nil"/>
              <w:tr2bl w:val="nil"/>
            </w:tcBorders>
            <w:noWrap/>
            <w:vAlign w:val="center"/>
          </w:tcPr>
          <w:p w14:paraId="1BBC87D8">
            <w:pPr>
              <w:keepNext w:val="0"/>
              <w:keepLines w:val="0"/>
              <w:widowControl/>
              <w:suppressLineNumbers w:val="0"/>
              <w:spacing w:line="40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类别</w:t>
            </w:r>
          </w:p>
        </w:tc>
        <w:tc>
          <w:tcPr>
            <w:tcW w:w="1187" w:type="dxa"/>
            <w:tcBorders>
              <w:top w:val="single" w:color="000000" w:sz="4" w:space="0"/>
              <w:left w:val="single" w:color="000000" w:sz="4" w:space="0"/>
              <w:bottom w:val="nil"/>
              <w:right w:val="single" w:color="000000" w:sz="4" w:space="0"/>
              <w:tl2br w:val="nil"/>
              <w:tr2bl w:val="nil"/>
            </w:tcBorders>
            <w:noWrap/>
            <w:vAlign w:val="center"/>
          </w:tcPr>
          <w:p w14:paraId="3030ED96">
            <w:pPr>
              <w:keepNext w:val="0"/>
              <w:keepLines w:val="0"/>
              <w:widowControl/>
              <w:suppressLineNumbers w:val="0"/>
              <w:spacing w:line="40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责任单位</w:t>
            </w:r>
          </w:p>
        </w:tc>
        <w:tc>
          <w:tcPr>
            <w:tcW w:w="4892" w:type="dxa"/>
            <w:tcBorders>
              <w:top w:val="single" w:color="000000" w:sz="4" w:space="0"/>
              <w:left w:val="single" w:color="000000" w:sz="4" w:space="0"/>
              <w:bottom w:val="nil"/>
              <w:right w:val="single" w:color="000000" w:sz="4" w:space="0"/>
              <w:tl2br w:val="nil"/>
              <w:tr2bl w:val="nil"/>
            </w:tcBorders>
            <w:noWrap/>
            <w:vAlign w:val="center"/>
          </w:tcPr>
          <w:p w14:paraId="69236C92">
            <w:pPr>
              <w:keepNext w:val="0"/>
              <w:keepLines w:val="0"/>
              <w:widowControl/>
              <w:suppressLineNumbers w:val="0"/>
              <w:spacing w:line="40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政策依据</w:t>
            </w:r>
          </w:p>
        </w:tc>
      </w:tr>
      <w:tr w14:paraId="113DC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0"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3E749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450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0AE05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w:t>
            </w:r>
          </w:p>
        </w:tc>
        <w:tc>
          <w:tcPr>
            <w:tcW w:w="162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79F92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增值税小规模纳税人、小型微利企业、个体工商户</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3C9E6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税费减免</w:t>
            </w:r>
          </w:p>
        </w:tc>
        <w:tc>
          <w:tcPr>
            <w:tcW w:w="1187" w:type="dxa"/>
            <w:vMerge w:val="restart"/>
            <w:tcBorders>
              <w:top w:val="single" w:color="000000" w:sz="4" w:space="0"/>
              <w:left w:val="single" w:color="000000" w:sz="4" w:space="0"/>
              <w:right w:val="single" w:color="000000" w:sz="4" w:space="0"/>
              <w:tl2br w:val="nil"/>
              <w:tr2bl w:val="nil"/>
            </w:tcBorders>
            <w:shd w:val="clear" w:color="auto" w:fill="FFFFFF"/>
            <w:noWrap w:val="0"/>
            <w:vAlign w:val="center"/>
          </w:tcPr>
          <w:p w14:paraId="33A665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市税务局</w:t>
            </w:r>
          </w:p>
        </w:tc>
        <w:tc>
          <w:tcPr>
            <w:tcW w:w="48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EEA1C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《财政部税务总局关于进一步支持小微企业和个体工商户发展有关税费政策的公告》（财政部税务总局公告2023年第12号）</w:t>
            </w:r>
          </w:p>
        </w:tc>
      </w:tr>
      <w:tr w14:paraId="50C99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9" w:hRule="atLeast"/>
          <w:jc w:val="center"/>
        </w:trPr>
        <w:tc>
          <w:tcPr>
            <w:tcW w:w="749" w:type="dxa"/>
            <w:tcBorders>
              <w:tl2br w:val="nil"/>
              <w:tr2bl w:val="nil"/>
            </w:tcBorders>
            <w:shd w:val="clear" w:color="auto" w:fill="FFFFFF"/>
            <w:noWrap/>
            <w:vAlign w:val="center"/>
          </w:tcPr>
          <w:p w14:paraId="10B579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4502" w:type="dxa"/>
            <w:tcBorders>
              <w:tl2br w:val="nil"/>
              <w:tr2bl w:val="nil"/>
            </w:tcBorders>
            <w:shd w:val="clear" w:color="auto" w:fill="FFFFFF"/>
            <w:noWrap w:val="0"/>
            <w:vAlign w:val="center"/>
          </w:tcPr>
          <w:p w14:paraId="4424E5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全面落实企业研发费用加计扣除和高新技术企业所得税优惠政策</w:t>
            </w:r>
          </w:p>
        </w:tc>
        <w:tc>
          <w:tcPr>
            <w:tcW w:w="1623" w:type="dxa"/>
            <w:tcBorders>
              <w:tl2br w:val="nil"/>
              <w:tr2bl w:val="nil"/>
            </w:tcBorders>
            <w:shd w:val="clear" w:color="auto" w:fill="FFFFFF"/>
            <w:noWrap w:val="0"/>
            <w:vAlign w:val="center"/>
          </w:tcPr>
          <w:p w14:paraId="101E89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符合条件的企业</w:t>
            </w:r>
          </w:p>
        </w:tc>
        <w:tc>
          <w:tcPr>
            <w:tcW w:w="831" w:type="dxa"/>
            <w:tcBorders>
              <w:tl2br w:val="nil"/>
              <w:tr2bl w:val="nil"/>
            </w:tcBorders>
            <w:shd w:val="clear" w:color="auto" w:fill="FFFFFF"/>
            <w:noWrap w:val="0"/>
            <w:vAlign w:val="center"/>
          </w:tcPr>
          <w:p w14:paraId="45160B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税费减免</w:t>
            </w:r>
          </w:p>
        </w:tc>
        <w:tc>
          <w:tcPr>
            <w:tcW w:w="1187" w:type="dxa"/>
            <w:vMerge w:val="continue"/>
            <w:tcBorders>
              <w:left w:val="single" w:color="000000" w:sz="4" w:space="0"/>
              <w:right w:val="single" w:color="000000" w:sz="4" w:space="0"/>
              <w:tl2br w:val="nil"/>
              <w:tr2bl w:val="nil"/>
            </w:tcBorders>
            <w:shd w:val="clear" w:color="auto" w:fill="FFFFFF"/>
            <w:noWrap w:val="0"/>
            <w:vAlign w:val="center"/>
          </w:tcPr>
          <w:p w14:paraId="0A3B05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4892" w:type="dxa"/>
            <w:tcBorders>
              <w:tl2br w:val="nil"/>
              <w:tr2bl w:val="nil"/>
            </w:tcBorders>
            <w:shd w:val="clear" w:color="auto" w:fill="FFFFFF"/>
            <w:noWrap w:val="0"/>
            <w:vAlign w:val="center"/>
          </w:tcPr>
          <w:p w14:paraId="15812D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《河南省人民政府关于印发河南省贯彻落实稳住经济一揽子政策措施实施方案的通知》（豫政〔2022〕19号）</w:t>
            </w:r>
          </w:p>
        </w:tc>
      </w:tr>
      <w:tr w14:paraId="27CB5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61" w:hRule="atLeast"/>
          <w:jc w:val="center"/>
        </w:trPr>
        <w:tc>
          <w:tcPr>
            <w:tcW w:w="749" w:type="dxa"/>
            <w:tcBorders>
              <w:tl2br w:val="nil"/>
              <w:tr2bl w:val="nil"/>
            </w:tcBorders>
            <w:shd w:val="clear" w:color="auto" w:fill="FFFFFF"/>
            <w:noWrap/>
            <w:vAlign w:val="center"/>
          </w:tcPr>
          <w:p w14:paraId="1E12ED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4502" w:type="dxa"/>
            <w:tcBorders>
              <w:tl2br w:val="nil"/>
              <w:tr2bl w:val="nil"/>
            </w:tcBorders>
            <w:shd w:val="clear" w:color="auto" w:fill="FFFFFF"/>
            <w:noWrap w:val="0"/>
            <w:vAlign w:val="center"/>
          </w:tcPr>
          <w:p w14:paraId="371AB9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自2023年1月1日至2027年12月31日，允许先进制造业企业按照当期可抵扣进项税额加计5%抵减应纳增值税税额</w:t>
            </w:r>
          </w:p>
        </w:tc>
        <w:tc>
          <w:tcPr>
            <w:tcW w:w="1623" w:type="dxa"/>
            <w:tcBorders>
              <w:tl2br w:val="nil"/>
              <w:tr2bl w:val="nil"/>
            </w:tcBorders>
            <w:shd w:val="clear" w:color="auto" w:fill="FFFFFF"/>
            <w:noWrap w:val="0"/>
            <w:vAlign w:val="center"/>
          </w:tcPr>
          <w:p w14:paraId="50010C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先进制造业企业</w:t>
            </w:r>
          </w:p>
        </w:tc>
        <w:tc>
          <w:tcPr>
            <w:tcW w:w="831" w:type="dxa"/>
            <w:tcBorders>
              <w:tl2br w:val="nil"/>
              <w:tr2bl w:val="nil"/>
            </w:tcBorders>
            <w:shd w:val="clear" w:color="auto" w:fill="FFFFFF"/>
            <w:noWrap w:val="0"/>
            <w:vAlign w:val="center"/>
          </w:tcPr>
          <w:p w14:paraId="1B5C6F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税费减免</w:t>
            </w:r>
          </w:p>
        </w:tc>
        <w:tc>
          <w:tcPr>
            <w:tcW w:w="1187" w:type="dxa"/>
            <w:vMerge w:val="restart"/>
            <w:tcBorders>
              <w:tl2br w:val="nil"/>
              <w:tr2bl w:val="nil"/>
            </w:tcBorders>
            <w:shd w:val="clear" w:color="auto" w:fill="FFFFFF"/>
            <w:noWrap w:val="0"/>
            <w:vAlign w:val="center"/>
          </w:tcPr>
          <w:p w14:paraId="2840F9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461845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374C97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18B62D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0A8ED5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0E08F8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6AA7B5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1DE0F1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47D134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576D51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553FA7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3766CA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市税务局</w:t>
            </w:r>
          </w:p>
          <w:p w14:paraId="71E3DE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11DDDB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61AE64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490D15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101490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58F391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314362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5F7282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2EE53B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336C0F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p w14:paraId="630A0A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lang w:val="en-US" w:eastAsia="zh-CN"/>
              </w:rPr>
            </w:pPr>
          </w:p>
          <w:p w14:paraId="4BD2280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lang w:val="en-US" w:eastAsia="zh-CN"/>
              </w:rPr>
            </w:pPr>
          </w:p>
          <w:p w14:paraId="3979679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市税务局</w:t>
            </w:r>
          </w:p>
        </w:tc>
        <w:tc>
          <w:tcPr>
            <w:tcW w:w="4892" w:type="dxa"/>
            <w:tcBorders>
              <w:tl2br w:val="nil"/>
              <w:tr2bl w:val="nil"/>
            </w:tcBorders>
            <w:shd w:val="clear" w:color="auto" w:fill="FFFFFF"/>
            <w:noWrap w:val="0"/>
            <w:vAlign w:val="center"/>
          </w:tcPr>
          <w:p w14:paraId="51D796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《财政部税务总局关于先进制造业企业增值税加计抵减政策的公告》（财政部税务总局公告2023年第43号）</w:t>
            </w:r>
          </w:p>
        </w:tc>
      </w:tr>
      <w:tr w14:paraId="178B3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0" w:hRule="atLeast"/>
          <w:jc w:val="center"/>
        </w:trPr>
        <w:tc>
          <w:tcPr>
            <w:tcW w:w="749" w:type="dxa"/>
            <w:tcBorders>
              <w:tl2br w:val="nil"/>
              <w:tr2bl w:val="nil"/>
            </w:tcBorders>
            <w:shd w:val="clear" w:color="auto" w:fill="FFFFFF"/>
            <w:noWrap/>
            <w:vAlign w:val="center"/>
          </w:tcPr>
          <w:p w14:paraId="13113F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c>
          <w:tcPr>
            <w:tcW w:w="4502" w:type="dxa"/>
            <w:tcBorders>
              <w:tl2br w:val="nil"/>
              <w:tr2bl w:val="nil"/>
            </w:tcBorders>
            <w:shd w:val="clear" w:color="auto" w:fill="FFFFFF"/>
            <w:noWrap w:val="0"/>
            <w:vAlign w:val="center"/>
          </w:tcPr>
          <w:p w14:paraId="50CD66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对小型微利企业减按25%计入应纳税所得额，按20%的税率缴纳企业所得税</w:t>
            </w:r>
            <w:r>
              <w:rPr>
                <w:rFonts w:hint="eastAsia" w:ascii="仿宋_GB2312" w:hAnsi="仿宋_GB2312" w:cs="仿宋_GB2312"/>
                <w:sz w:val="24"/>
                <w:szCs w:val="24"/>
                <w:lang w:val="en-US" w:eastAsia="zh-CN"/>
              </w:rPr>
              <w:t>政策，延续执行至2027年12月31日</w:t>
            </w:r>
          </w:p>
        </w:tc>
        <w:tc>
          <w:tcPr>
            <w:tcW w:w="1623" w:type="dxa"/>
            <w:tcBorders>
              <w:tl2br w:val="nil"/>
              <w:tr2bl w:val="nil"/>
            </w:tcBorders>
            <w:shd w:val="clear" w:color="auto" w:fill="FFFFFF"/>
            <w:noWrap w:val="0"/>
            <w:vAlign w:val="center"/>
          </w:tcPr>
          <w:p w14:paraId="6E0BB0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符合条件的小型微利</w:t>
            </w:r>
          </w:p>
          <w:p w14:paraId="01F6A2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企业</w:t>
            </w:r>
          </w:p>
        </w:tc>
        <w:tc>
          <w:tcPr>
            <w:tcW w:w="831" w:type="dxa"/>
            <w:tcBorders>
              <w:tl2br w:val="nil"/>
              <w:tr2bl w:val="nil"/>
            </w:tcBorders>
            <w:shd w:val="clear" w:color="auto" w:fill="FFFFFF"/>
            <w:noWrap w:val="0"/>
            <w:vAlign w:val="center"/>
          </w:tcPr>
          <w:p w14:paraId="715B35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税费减免</w:t>
            </w:r>
          </w:p>
        </w:tc>
        <w:tc>
          <w:tcPr>
            <w:tcW w:w="1187" w:type="dxa"/>
            <w:vMerge w:val="continue"/>
            <w:tcBorders>
              <w:tl2br w:val="nil"/>
              <w:tr2bl w:val="nil"/>
            </w:tcBorders>
            <w:shd w:val="clear" w:color="auto" w:fill="FFFFFF"/>
            <w:noWrap w:val="0"/>
            <w:vAlign w:val="center"/>
          </w:tcPr>
          <w:p w14:paraId="2385D3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4892" w:type="dxa"/>
            <w:tcBorders>
              <w:tl2br w:val="nil"/>
              <w:tr2bl w:val="nil"/>
            </w:tcBorders>
            <w:shd w:val="clear" w:color="auto" w:fill="FFFFFF"/>
            <w:noWrap w:val="0"/>
            <w:vAlign w:val="center"/>
          </w:tcPr>
          <w:p w14:paraId="103B5D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《财政部税务总局关于</w:t>
            </w:r>
            <w:r>
              <w:rPr>
                <w:rFonts w:hint="eastAsia" w:ascii="仿宋_GB2312" w:hAnsi="仿宋_GB2312" w:cs="仿宋_GB2312"/>
                <w:sz w:val="24"/>
                <w:szCs w:val="24"/>
                <w:lang w:val="en-US" w:eastAsia="zh-CN"/>
              </w:rPr>
              <w:t>进一步支持</w:t>
            </w:r>
            <w:r>
              <w:rPr>
                <w:rFonts w:hint="eastAsia" w:ascii="仿宋_GB2312" w:hAnsi="仿宋_GB2312" w:eastAsia="仿宋_GB2312" w:cs="仿宋_GB2312"/>
                <w:sz w:val="24"/>
                <w:szCs w:val="24"/>
                <w:lang w:val="en-US" w:eastAsia="zh-CN"/>
              </w:rPr>
              <w:t>小微企业和个体工商户</w:t>
            </w:r>
            <w:r>
              <w:rPr>
                <w:rFonts w:hint="eastAsia" w:ascii="仿宋_GB2312" w:hAnsi="仿宋_GB2312" w:cs="仿宋_GB2312"/>
                <w:sz w:val="24"/>
                <w:szCs w:val="24"/>
                <w:lang w:val="en-US" w:eastAsia="zh-CN"/>
              </w:rPr>
              <w:t>发展有关税费</w:t>
            </w:r>
            <w:r>
              <w:rPr>
                <w:rFonts w:hint="eastAsia" w:ascii="仿宋_GB2312" w:hAnsi="仿宋_GB2312" w:eastAsia="仿宋_GB2312" w:cs="仿宋_GB2312"/>
                <w:sz w:val="24"/>
                <w:szCs w:val="24"/>
                <w:lang w:val="en-US" w:eastAsia="zh-CN"/>
              </w:rPr>
              <w:t>政策的公告》（财政部税务总局公告2023年第</w:t>
            </w:r>
            <w:r>
              <w:rPr>
                <w:rFonts w:hint="eastAsia" w:ascii="仿宋_GB2312" w:hAnsi="仿宋_GB2312" w:cs="仿宋_GB2312"/>
                <w:sz w:val="24"/>
                <w:szCs w:val="24"/>
                <w:lang w:val="en-US" w:eastAsia="zh-CN"/>
              </w:rPr>
              <w:t>12</w:t>
            </w:r>
            <w:r>
              <w:rPr>
                <w:rFonts w:hint="eastAsia" w:ascii="仿宋_GB2312" w:hAnsi="仿宋_GB2312" w:eastAsia="仿宋_GB2312" w:cs="仿宋_GB2312"/>
                <w:sz w:val="24"/>
                <w:szCs w:val="24"/>
                <w:lang w:val="en-US" w:eastAsia="zh-CN"/>
              </w:rPr>
              <w:t>号）</w:t>
            </w:r>
          </w:p>
        </w:tc>
      </w:tr>
      <w:tr w14:paraId="1AD91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0" w:hRule="atLeast"/>
          <w:jc w:val="center"/>
        </w:trPr>
        <w:tc>
          <w:tcPr>
            <w:tcW w:w="749" w:type="dxa"/>
            <w:tcBorders>
              <w:tl2br w:val="nil"/>
              <w:tr2bl w:val="nil"/>
            </w:tcBorders>
            <w:shd w:val="clear" w:color="auto" w:fill="FFFFFF"/>
            <w:noWrap/>
            <w:vAlign w:val="center"/>
          </w:tcPr>
          <w:p w14:paraId="58F239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p>
        </w:tc>
        <w:tc>
          <w:tcPr>
            <w:tcW w:w="4502" w:type="dxa"/>
            <w:tcBorders>
              <w:tl2br w:val="nil"/>
              <w:tr2bl w:val="nil"/>
            </w:tcBorders>
            <w:shd w:val="clear" w:color="auto" w:fill="FFFFFF"/>
            <w:noWrap w:val="0"/>
            <w:vAlign w:val="center"/>
          </w:tcPr>
          <w:p w14:paraId="7DD52E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自2023年</w:t>
            </w:r>
            <w:r>
              <w:rPr>
                <w:rFonts w:hint="eastAsia" w:ascii="仿宋_GB2312" w:hAnsi="仿宋_GB2312" w:eastAsia="仿宋_GB2312" w:cs="仿宋_GB2312"/>
                <w:sz w:val="24"/>
                <w:szCs w:val="24"/>
                <w:lang w:val="en-US" w:eastAsia="zh-CN"/>
              </w:rPr>
              <w:t>1月1日至2027年12月31日，对个体工商户年应纳税所得额不超过</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val="en-US" w:eastAsia="zh-CN"/>
              </w:rPr>
              <w:t>00万元的部分，减半征收个人所得税</w:t>
            </w:r>
            <w:r>
              <w:rPr>
                <w:rFonts w:hint="eastAsia" w:ascii="仿宋_GB2312" w:hAnsi="仿宋_GB2312" w:cs="仿宋_GB2312"/>
                <w:sz w:val="24"/>
                <w:szCs w:val="24"/>
                <w:lang w:val="en-US" w:eastAsia="zh-CN"/>
              </w:rPr>
              <w:t>。个体工商户在享受现行其他个人所得税优惠政策的基础上，可叠加享受本条优惠政策</w:t>
            </w:r>
          </w:p>
        </w:tc>
        <w:tc>
          <w:tcPr>
            <w:tcW w:w="1623" w:type="dxa"/>
            <w:tcBorders>
              <w:tl2br w:val="nil"/>
              <w:tr2bl w:val="nil"/>
            </w:tcBorders>
            <w:shd w:val="clear" w:color="auto" w:fill="FFFFFF"/>
            <w:noWrap w:val="0"/>
            <w:vAlign w:val="center"/>
          </w:tcPr>
          <w:p w14:paraId="513EE7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符合条件的个体工商户</w:t>
            </w:r>
          </w:p>
        </w:tc>
        <w:tc>
          <w:tcPr>
            <w:tcW w:w="831" w:type="dxa"/>
            <w:tcBorders>
              <w:tl2br w:val="nil"/>
              <w:tr2bl w:val="nil"/>
            </w:tcBorders>
            <w:shd w:val="clear" w:color="auto" w:fill="FFFFFF"/>
            <w:noWrap w:val="0"/>
            <w:vAlign w:val="center"/>
          </w:tcPr>
          <w:p w14:paraId="7B4C80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税费减免</w:t>
            </w:r>
          </w:p>
        </w:tc>
        <w:tc>
          <w:tcPr>
            <w:tcW w:w="1187" w:type="dxa"/>
            <w:vMerge w:val="continue"/>
            <w:tcBorders>
              <w:tl2br w:val="nil"/>
              <w:tr2bl w:val="nil"/>
            </w:tcBorders>
            <w:shd w:val="clear" w:color="auto" w:fill="FFFFFF"/>
            <w:noWrap w:val="0"/>
            <w:vAlign w:val="center"/>
          </w:tcPr>
          <w:p w14:paraId="4C6267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4892" w:type="dxa"/>
            <w:tcBorders>
              <w:tl2br w:val="nil"/>
              <w:tr2bl w:val="nil"/>
            </w:tcBorders>
            <w:shd w:val="clear" w:color="auto" w:fill="FFFFFF"/>
            <w:noWrap w:val="0"/>
            <w:vAlign w:val="center"/>
          </w:tcPr>
          <w:p w14:paraId="0EC29A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《财政部税务总局关于</w:t>
            </w:r>
            <w:r>
              <w:rPr>
                <w:rFonts w:hint="eastAsia" w:ascii="仿宋_GB2312" w:hAnsi="仿宋_GB2312" w:cs="仿宋_GB2312"/>
                <w:sz w:val="24"/>
                <w:szCs w:val="24"/>
                <w:lang w:val="en-US" w:eastAsia="zh-CN"/>
              </w:rPr>
              <w:t>进一步支持</w:t>
            </w:r>
            <w:r>
              <w:rPr>
                <w:rFonts w:hint="eastAsia" w:ascii="仿宋_GB2312" w:hAnsi="仿宋_GB2312" w:eastAsia="仿宋_GB2312" w:cs="仿宋_GB2312"/>
                <w:sz w:val="24"/>
                <w:szCs w:val="24"/>
                <w:lang w:val="en-US" w:eastAsia="zh-CN"/>
              </w:rPr>
              <w:t>小微企业和个体工商户</w:t>
            </w:r>
            <w:r>
              <w:rPr>
                <w:rFonts w:hint="eastAsia" w:ascii="仿宋_GB2312" w:hAnsi="仿宋_GB2312" w:cs="仿宋_GB2312"/>
                <w:sz w:val="24"/>
                <w:szCs w:val="24"/>
                <w:lang w:val="en-US" w:eastAsia="zh-CN"/>
              </w:rPr>
              <w:t>发展有关税费</w:t>
            </w:r>
            <w:r>
              <w:rPr>
                <w:rFonts w:hint="eastAsia" w:ascii="仿宋_GB2312" w:hAnsi="仿宋_GB2312" w:eastAsia="仿宋_GB2312" w:cs="仿宋_GB2312"/>
                <w:sz w:val="24"/>
                <w:szCs w:val="24"/>
                <w:lang w:val="en-US" w:eastAsia="zh-CN"/>
              </w:rPr>
              <w:t>政策的公告》（财政部税务总局公告2023年第</w:t>
            </w:r>
            <w:r>
              <w:rPr>
                <w:rFonts w:hint="eastAsia" w:ascii="仿宋_GB2312" w:hAnsi="仿宋_GB2312" w:cs="仿宋_GB2312"/>
                <w:sz w:val="24"/>
                <w:szCs w:val="24"/>
                <w:lang w:val="en-US" w:eastAsia="zh-CN"/>
              </w:rPr>
              <w:t>12</w:t>
            </w:r>
            <w:r>
              <w:rPr>
                <w:rFonts w:hint="eastAsia" w:ascii="仿宋_GB2312" w:hAnsi="仿宋_GB2312" w:eastAsia="仿宋_GB2312" w:cs="仿宋_GB2312"/>
                <w:sz w:val="24"/>
                <w:szCs w:val="24"/>
                <w:lang w:val="en-US" w:eastAsia="zh-CN"/>
              </w:rPr>
              <w:t>号）</w:t>
            </w:r>
          </w:p>
        </w:tc>
      </w:tr>
      <w:tr w14:paraId="00580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01" w:hRule="atLeast"/>
          <w:jc w:val="center"/>
        </w:trPr>
        <w:tc>
          <w:tcPr>
            <w:tcW w:w="749" w:type="dxa"/>
            <w:tcBorders>
              <w:tl2br w:val="nil"/>
              <w:tr2bl w:val="nil"/>
            </w:tcBorders>
            <w:shd w:val="clear" w:color="auto" w:fill="FFFFFF"/>
            <w:noWrap/>
            <w:vAlign w:val="center"/>
          </w:tcPr>
          <w:p w14:paraId="5A9DF7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p>
        </w:tc>
        <w:tc>
          <w:tcPr>
            <w:tcW w:w="4502" w:type="dxa"/>
            <w:tcBorders>
              <w:tl2br w:val="nil"/>
              <w:tr2bl w:val="nil"/>
            </w:tcBorders>
            <w:shd w:val="clear" w:color="auto" w:fill="FFFFFF"/>
            <w:noWrap w:val="0"/>
            <w:vAlign w:val="center"/>
          </w:tcPr>
          <w:p w14:paraId="0D9AE6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对月销售额10万元以下（含本数）的增值税小规模纳税人，免征增值税</w:t>
            </w:r>
          </w:p>
        </w:tc>
        <w:tc>
          <w:tcPr>
            <w:tcW w:w="1623" w:type="dxa"/>
            <w:tcBorders>
              <w:tl2br w:val="nil"/>
              <w:tr2bl w:val="nil"/>
            </w:tcBorders>
            <w:shd w:val="clear" w:color="auto" w:fill="FFFFFF"/>
            <w:noWrap w:val="0"/>
            <w:vAlign w:val="center"/>
          </w:tcPr>
          <w:p w14:paraId="11765B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增值税</w:t>
            </w:r>
          </w:p>
          <w:p w14:paraId="486A6B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小规模</w:t>
            </w:r>
          </w:p>
          <w:p w14:paraId="7F4708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纳税人</w:t>
            </w:r>
          </w:p>
        </w:tc>
        <w:tc>
          <w:tcPr>
            <w:tcW w:w="831" w:type="dxa"/>
            <w:tcBorders>
              <w:tl2br w:val="nil"/>
              <w:tr2bl w:val="nil"/>
            </w:tcBorders>
            <w:shd w:val="clear" w:color="auto" w:fill="FFFFFF"/>
            <w:noWrap w:val="0"/>
            <w:vAlign w:val="center"/>
          </w:tcPr>
          <w:p w14:paraId="49AF2B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税费减免</w:t>
            </w:r>
          </w:p>
        </w:tc>
        <w:tc>
          <w:tcPr>
            <w:tcW w:w="1187" w:type="dxa"/>
            <w:vMerge w:val="continue"/>
            <w:tcBorders>
              <w:tl2br w:val="nil"/>
              <w:tr2bl w:val="nil"/>
            </w:tcBorders>
            <w:shd w:val="clear" w:color="auto" w:fill="FFFFFF"/>
            <w:noWrap w:val="0"/>
            <w:vAlign w:val="center"/>
          </w:tcPr>
          <w:p w14:paraId="575BF7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4892" w:type="dxa"/>
            <w:tcBorders>
              <w:tl2br w:val="nil"/>
              <w:tr2bl w:val="nil"/>
            </w:tcBorders>
            <w:shd w:val="clear" w:color="auto" w:fill="FFFFFF"/>
            <w:noWrap w:val="0"/>
            <w:vAlign w:val="center"/>
          </w:tcPr>
          <w:p w14:paraId="2EC9C9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《财政部税务总局关于增值税小规模纳税人减免增值税政策的公告》（财政部税务总局公告2023年第19号）</w:t>
            </w:r>
          </w:p>
        </w:tc>
      </w:tr>
      <w:tr w14:paraId="32327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14" w:hRule="atLeast"/>
          <w:jc w:val="center"/>
        </w:trPr>
        <w:tc>
          <w:tcPr>
            <w:tcW w:w="749" w:type="dxa"/>
            <w:tcBorders>
              <w:tl2br w:val="nil"/>
              <w:tr2bl w:val="nil"/>
            </w:tcBorders>
            <w:shd w:val="clear" w:color="auto" w:fill="FFFFFF"/>
            <w:noWrap/>
            <w:vAlign w:val="center"/>
          </w:tcPr>
          <w:p w14:paraId="211CE7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p>
        </w:tc>
        <w:tc>
          <w:tcPr>
            <w:tcW w:w="4502" w:type="dxa"/>
            <w:tcBorders>
              <w:tl2br w:val="nil"/>
              <w:tr2bl w:val="nil"/>
            </w:tcBorders>
            <w:shd w:val="clear" w:color="auto" w:fill="FFFFFF"/>
            <w:noWrap w:val="0"/>
            <w:vAlign w:val="center"/>
          </w:tcPr>
          <w:p w14:paraId="46FA0A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增值税小规模纳税人适用3%征收率的应税销售收入，减按1%征收率征收增值税；适用3%预征率的预缴增值税项目，减按1%预征率预缴增值税</w:t>
            </w:r>
          </w:p>
        </w:tc>
        <w:tc>
          <w:tcPr>
            <w:tcW w:w="1623" w:type="dxa"/>
            <w:tcBorders>
              <w:tl2br w:val="nil"/>
              <w:tr2bl w:val="nil"/>
            </w:tcBorders>
            <w:shd w:val="clear" w:color="auto" w:fill="FFFFFF"/>
            <w:noWrap w:val="0"/>
            <w:vAlign w:val="center"/>
          </w:tcPr>
          <w:p w14:paraId="015319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增值税</w:t>
            </w:r>
          </w:p>
          <w:p w14:paraId="4C4D01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小规模</w:t>
            </w:r>
          </w:p>
          <w:p w14:paraId="70E71A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纳税人</w:t>
            </w:r>
          </w:p>
        </w:tc>
        <w:tc>
          <w:tcPr>
            <w:tcW w:w="831" w:type="dxa"/>
            <w:tcBorders>
              <w:tl2br w:val="nil"/>
              <w:tr2bl w:val="nil"/>
            </w:tcBorders>
            <w:shd w:val="clear" w:color="auto" w:fill="FFFFFF"/>
            <w:noWrap w:val="0"/>
            <w:vAlign w:val="center"/>
          </w:tcPr>
          <w:p w14:paraId="15A8CE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税费减免</w:t>
            </w:r>
          </w:p>
        </w:tc>
        <w:tc>
          <w:tcPr>
            <w:tcW w:w="1187" w:type="dxa"/>
            <w:vMerge w:val="continue"/>
            <w:tcBorders>
              <w:tl2br w:val="nil"/>
              <w:tr2bl w:val="nil"/>
            </w:tcBorders>
            <w:shd w:val="clear" w:color="auto" w:fill="FFFFFF"/>
            <w:noWrap w:val="0"/>
            <w:vAlign w:val="center"/>
          </w:tcPr>
          <w:p w14:paraId="5484C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市税务局</w:t>
            </w:r>
          </w:p>
        </w:tc>
        <w:tc>
          <w:tcPr>
            <w:tcW w:w="4892" w:type="dxa"/>
            <w:tcBorders>
              <w:tl2br w:val="nil"/>
              <w:tr2bl w:val="nil"/>
            </w:tcBorders>
            <w:shd w:val="clear" w:color="auto" w:fill="FFFFFF"/>
            <w:noWrap w:val="0"/>
            <w:vAlign w:val="center"/>
          </w:tcPr>
          <w:p w14:paraId="59E4DE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《财政部税务总局关于增值税小规模纳税人减免增值税政策的公告》（财政部税务总局公告2023年第19号）</w:t>
            </w:r>
          </w:p>
        </w:tc>
      </w:tr>
      <w:tr w14:paraId="096E6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89"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7DEC7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p>
        </w:tc>
        <w:tc>
          <w:tcPr>
            <w:tcW w:w="450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EB36A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阶段性降低失业保险费率至1%的政策延续实施一年，其中单位部分0.7%，个人部分0.3%，执行期限至2025年12月31日</w:t>
            </w:r>
          </w:p>
        </w:tc>
        <w:tc>
          <w:tcPr>
            <w:tcW w:w="162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A8A49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用人单位</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01E95E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税费减免</w:t>
            </w:r>
          </w:p>
        </w:tc>
        <w:tc>
          <w:tcPr>
            <w:tcW w:w="118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34E6F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default" w:ascii="仿宋_GB2312" w:hAnsi="仿宋_GB2312" w:cs="仿宋_GB2312"/>
                <w:sz w:val="24"/>
                <w:szCs w:val="24"/>
                <w:lang w:val="en" w:eastAsia="zh-CN"/>
              </w:rPr>
              <w:t>市人力资源社会保障</w:t>
            </w:r>
            <w:r>
              <w:rPr>
                <w:rFonts w:hint="eastAsia" w:ascii="仿宋_GB2312" w:hAnsi="仿宋_GB2312" w:eastAsia="仿宋_GB2312" w:cs="仿宋_GB2312"/>
                <w:sz w:val="24"/>
                <w:szCs w:val="24"/>
                <w:lang w:val="en-US" w:eastAsia="zh-CN"/>
              </w:rPr>
              <w:t>局</w:t>
            </w:r>
          </w:p>
        </w:tc>
        <w:tc>
          <w:tcPr>
            <w:tcW w:w="48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E3C4A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《河南省人力资源和社会保障厅河南省财政厅国家税务总局河南省税务局关于延续实施失业保险援企稳岗有关政策的通知》（豫人社办〔2024〕47号）</w:t>
            </w:r>
          </w:p>
        </w:tc>
      </w:tr>
      <w:tr w14:paraId="56E3E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44"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963DA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p>
        </w:tc>
        <w:tc>
          <w:tcPr>
            <w:tcW w:w="450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5C485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将总建筑面积2000平方米以下的物流仓储用地建设项目的防空地下室易地建设费收费标准降为零</w:t>
            </w:r>
          </w:p>
        </w:tc>
        <w:tc>
          <w:tcPr>
            <w:tcW w:w="162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6CD55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符合条件的企业</w:t>
            </w:r>
          </w:p>
        </w:tc>
        <w:tc>
          <w:tcPr>
            <w:tcW w:w="8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51CB53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税费减免</w:t>
            </w:r>
          </w:p>
        </w:tc>
        <w:tc>
          <w:tcPr>
            <w:tcW w:w="118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37CC5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市国动办</w:t>
            </w:r>
          </w:p>
        </w:tc>
        <w:tc>
          <w:tcPr>
            <w:tcW w:w="48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BA04F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南省人民防空办公室河南省发展和改革委员会河南省财政厅关于规范物流仓储用地建设项目配建防空地下室的通知》（豫人防〔2021〕56号）、《平顶山市人民防空办公室关于转发&lt;关于规范物流仓储用地建设项目配建防空地下室的通知&gt;的通知》</w:t>
            </w:r>
          </w:p>
        </w:tc>
      </w:tr>
      <w:tr w14:paraId="06A32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23"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2D9D3F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p>
        </w:tc>
        <w:tc>
          <w:tcPr>
            <w:tcW w:w="450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49B33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市辖区（不含石龙区）范围涉及企业间非住宅不动产转移登记，市不动产登记中心免收相应的登记费</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7061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符合条件的非住宅企业</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8F4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税费减免</w:t>
            </w:r>
          </w:p>
        </w:tc>
        <w:tc>
          <w:tcPr>
            <w:tcW w:w="1187" w:type="dxa"/>
            <w:vMerge w:val="restart"/>
            <w:tcBorders>
              <w:top w:val="single" w:color="000000" w:sz="4" w:space="0"/>
              <w:left w:val="single" w:color="000000" w:sz="4" w:space="0"/>
              <w:right w:val="single" w:color="000000" w:sz="4" w:space="0"/>
              <w:tl2br w:val="nil"/>
              <w:tr2bl w:val="nil"/>
            </w:tcBorders>
            <w:noWrap w:val="0"/>
            <w:vAlign w:val="center"/>
          </w:tcPr>
          <w:p w14:paraId="272E91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市自然</w:t>
            </w:r>
          </w:p>
          <w:p w14:paraId="0BF7D3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资源和</w:t>
            </w:r>
          </w:p>
          <w:p w14:paraId="17FA0B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规划局</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EB5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《平顶山市自然资源和规划局关于在市辖区范围内实施企业间非住宅转移登记免收不动产登记费的通知》(平自然资〔2021〕145号)</w:t>
            </w:r>
          </w:p>
        </w:tc>
      </w:tr>
      <w:tr w14:paraId="22A44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19"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7ECF7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552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小微企业免收不动产登记费</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035B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sz w:val="24"/>
                <w:szCs w:val="24"/>
                <w:lang w:val="en-US" w:eastAsia="zh-CN"/>
              </w:rPr>
            </w:pPr>
            <w:r>
              <w:rPr>
                <w:rFonts w:hint="eastAsia" w:ascii="仿宋_GB2312" w:hAnsi="仿宋_GB2312" w:eastAsia="仿宋_GB2312" w:cs="仿宋_GB2312"/>
                <w:sz w:val="24"/>
                <w:szCs w:val="24"/>
                <w:lang w:val="en-US" w:eastAsia="zh-CN"/>
              </w:rPr>
              <w:t>符合</w:t>
            </w:r>
            <w:r>
              <w:rPr>
                <w:rFonts w:hint="eastAsia" w:ascii="仿宋_GB2312" w:hAnsi="仿宋_GB2312" w:cs="仿宋_GB2312"/>
                <w:sz w:val="24"/>
                <w:szCs w:val="24"/>
                <w:lang w:val="en-US" w:eastAsia="zh-CN"/>
              </w:rPr>
              <w:t>《关于</w:t>
            </w:r>
          </w:p>
          <w:p w14:paraId="5B5F43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印发中小企业划型标准规定的通知》（工信部联企业</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2011</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300号）</w:t>
            </w:r>
            <w:r>
              <w:rPr>
                <w:rFonts w:hint="eastAsia" w:ascii="仿宋_GB2312" w:hAnsi="仿宋_GB2312" w:eastAsia="仿宋_GB2312" w:cs="仿宋_GB2312"/>
                <w:sz w:val="24"/>
                <w:szCs w:val="24"/>
                <w:lang w:val="en-US" w:eastAsia="zh-CN"/>
              </w:rPr>
              <w:t>规定的小微企业标准，持有工商营业执照的个体工商户</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872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税费减免</w:t>
            </w:r>
          </w:p>
        </w:tc>
        <w:tc>
          <w:tcPr>
            <w:tcW w:w="1187" w:type="dxa"/>
            <w:vMerge w:val="continue"/>
            <w:tcBorders>
              <w:left w:val="single" w:color="000000" w:sz="4" w:space="0"/>
              <w:bottom w:val="single" w:color="000000" w:sz="4" w:space="0"/>
              <w:right w:val="single" w:color="000000" w:sz="4" w:space="0"/>
              <w:tl2br w:val="nil"/>
              <w:tr2bl w:val="nil"/>
            </w:tcBorders>
            <w:noWrap w:val="0"/>
            <w:vAlign w:val="center"/>
          </w:tcPr>
          <w:p w14:paraId="59FCA8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FF8C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《自然资源部自然资源确权登记局关于进一步做好免收小微企业不动产登记费工作的通知》(自然资登记函〔2021〕2号)</w:t>
            </w:r>
          </w:p>
        </w:tc>
      </w:tr>
      <w:tr w14:paraId="0D471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69"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42FE9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9AFA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项目建设单位预留质量保证金或施工单位采用银行保函替代预留质量保证金的，质量保证金总预留比例由工程价款结算总额的3%降至1.5%，并在缺陷责任期后及时归还</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658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施工企业</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D88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惠企政策</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61B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市交通</w:t>
            </w:r>
          </w:p>
          <w:p w14:paraId="4F3F51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运输局</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27E9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《河南省交通运输厅河南省财政厅关于交通运输行业助企纾困政策的通知》（豫交文〔2022〕92号）</w:t>
            </w:r>
          </w:p>
        </w:tc>
      </w:tr>
      <w:tr w14:paraId="708B7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06"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9EBDE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3437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对新获批组建的河南省院士工作站、中原学者工作站，分别给予50万元的资金奖励</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26F2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已认定</w:t>
            </w:r>
          </w:p>
          <w:p w14:paraId="392E4A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单位</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962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财政补贴</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328A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市科技局、市财政局</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4890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《关于深入推进“平顶山英才计划”加快建设区域性人才中心和创新高地的若干措施》</w:t>
            </w:r>
          </w:p>
        </w:tc>
      </w:tr>
      <w:tr w14:paraId="67288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05"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4EBB4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14</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713C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鼓励陶瓷产业优秀团队参加创新创业大赛，对获得创新创业大赛奖项的人才项目给予资助，获得国家级大赛奖项的，每个项目给予20万元资助；获得省级大赛前三名的，每个项目给予10万元资助</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36AB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已认定</w:t>
            </w:r>
          </w:p>
          <w:p w14:paraId="4C4076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项目</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0F78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财政补贴</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DD4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lang w:val="en-US" w:eastAsia="zh-CN"/>
              </w:rPr>
              <w:t>市陶瓷发展促进中心办公室</w:t>
            </w:r>
            <w:r>
              <w:rPr>
                <w:rFonts w:hint="eastAsia" w:ascii="仿宋_GB2312" w:hAnsi="仿宋_GB2312" w:eastAsia="仿宋_GB2312" w:cs="仿宋_GB2312"/>
                <w:sz w:val="24"/>
                <w:szCs w:val="24"/>
                <w:lang w:val="en-US" w:eastAsia="zh-CN"/>
              </w:rPr>
              <w:t>、市财政局</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CE7F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《平顶山市陶瓷产业人才引育行动实施方案》（平人才办〔2024〕2号）</w:t>
            </w:r>
          </w:p>
        </w:tc>
      </w:tr>
      <w:tr w14:paraId="21849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39"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BBB21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D9F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对新认定的国家级、省级企业技术中心、工程研究中心、产业创新中心，市财政分别一次性给予50万元、30万元的资助</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329F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已认定</w:t>
            </w:r>
          </w:p>
          <w:p w14:paraId="66FFB1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单位</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0051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财政补贴</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165D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w:t>
            </w:r>
            <w:r>
              <w:rPr>
                <w:rFonts w:hint="eastAsia" w:ascii="仿宋_GB2312" w:hAnsi="仿宋_GB2312" w:cs="仿宋_GB2312"/>
                <w:sz w:val="24"/>
                <w:szCs w:val="24"/>
                <w:lang w:val="en-US" w:eastAsia="zh-CN"/>
              </w:rPr>
              <w:t>发展改革</w:t>
            </w:r>
            <w:r>
              <w:rPr>
                <w:rFonts w:hint="eastAsia" w:ascii="仿宋_GB2312" w:hAnsi="仿宋_GB2312" w:eastAsia="仿宋_GB2312" w:cs="仿宋_GB2312"/>
                <w:sz w:val="24"/>
                <w:szCs w:val="24"/>
                <w:lang w:val="en-US" w:eastAsia="zh-CN"/>
              </w:rPr>
              <w:t>委、市财政局</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46C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《关于深入推进“平顶山英才计划”加快建设区域性人才中心和创新高地的若干措施》</w:t>
            </w:r>
          </w:p>
        </w:tc>
      </w:tr>
      <w:tr w14:paraId="4A079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54"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C3768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10B7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对获得国务院或工业和信息化部认定的国家新型工业化产业示范基地、绿色工业园区的，给予一次性奖励100万元</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6EC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符合条件的制造业企业</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FA3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财政补贴</w:t>
            </w:r>
          </w:p>
        </w:tc>
        <w:tc>
          <w:tcPr>
            <w:tcW w:w="1187" w:type="dxa"/>
            <w:vMerge w:val="restart"/>
            <w:tcBorders>
              <w:top w:val="single" w:color="000000" w:sz="4" w:space="0"/>
              <w:left w:val="single" w:color="000000" w:sz="4" w:space="0"/>
              <w:right w:val="single" w:color="000000" w:sz="4" w:space="0"/>
              <w:tl2br w:val="nil"/>
              <w:tr2bl w:val="nil"/>
            </w:tcBorders>
            <w:noWrap w:val="0"/>
            <w:vAlign w:val="center"/>
          </w:tcPr>
          <w:p w14:paraId="5066A0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市工业和信息化局</w:t>
            </w:r>
            <w:r>
              <w:rPr>
                <w:rFonts w:hint="eastAsia" w:ascii="仿宋_GB2312" w:hAnsi="仿宋_GB2312" w:eastAsia="仿宋_GB2312" w:cs="仿宋_GB2312"/>
                <w:sz w:val="24"/>
                <w:szCs w:val="24"/>
                <w:lang w:val="en-US" w:eastAsia="zh-CN"/>
              </w:rPr>
              <w:t>、市财政局</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FE6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《平顶山市市级制造业高质量发展专项资金管理办法》（平财企〔2022〕3号）</w:t>
            </w:r>
          </w:p>
        </w:tc>
      </w:tr>
      <w:tr w14:paraId="5B844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3"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81855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799B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对按期通过国家仿制药质量和疗效一致性评价的企业，给予一次性奖励50万元</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6CE5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符合条件的制造业企业</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D14E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财政补贴</w:t>
            </w:r>
          </w:p>
        </w:tc>
        <w:tc>
          <w:tcPr>
            <w:tcW w:w="1187" w:type="dxa"/>
            <w:vMerge w:val="continue"/>
            <w:tcBorders>
              <w:left w:val="single" w:color="000000" w:sz="4" w:space="0"/>
              <w:right w:val="single" w:color="000000" w:sz="4" w:space="0"/>
              <w:tl2br w:val="nil"/>
              <w:tr2bl w:val="nil"/>
            </w:tcBorders>
            <w:noWrap w:val="0"/>
            <w:vAlign w:val="center"/>
          </w:tcPr>
          <w:p w14:paraId="442ACC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5304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《平顶山市市级制造业高质量发展专项资金管理办法》（平财企〔2022〕3号）</w:t>
            </w:r>
          </w:p>
        </w:tc>
      </w:tr>
      <w:tr w14:paraId="6A351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5"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DF0A3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622E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支持建设制造业创新中心。对认定为省级制造业创新中心的，给予一次性奖励100万元；晋升为国家级制造业创新中心的，给予一次性奖励200万元</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C17C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符合条件的制造业企业</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5DC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财政补贴</w:t>
            </w:r>
          </w:p>
        </w:tc>
        <w:tc>
          <w:tcPr>
            <w:tcW w:w="1187" w:type="dxa"/>
            <w:vMerge w:val="continue"/>
            <w:tcBorders>
              <w:left w:val="single" w:color="000000" w:sz="4" w:space="0"/>
              <w:bottom w:val="single" w:color="000000" w:sz="4" w:space="0"/>
              <w:right w:val="single" w:color="000000" w:sz="4" w:space="0"/>
              <w:tl2br w:val="nil"/>
              <w:tr2bl w:val="nil"/>
            </w:tcBorders>
            <w:noWrap w:val="0"/>
            <w:vAlign w:val="center"/>
          </w:tcPr>
          <w:p w14:paraId="64578D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FC0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《平顶山市市级制造业高质量发展专项资金管理办法》（平财企〔2022〕3号）</w:t>
            </w:r>
          </w:p>
        </w:tc>
      </w:tr>
      <w:tr w14:paraId="41030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24"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5DB9E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6185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根据省</w:t>
            </w:r>
            <w:r>
              <w:rPr>
                <w:rFonts w:hint="eastAsia" w:ascii="仿宋_GB2312" w:hAnsi="仿宋_GB2312" w:cs="仿宋_GB2312"/>
                <w:sz w:val="24"/>
                <w:szCs w:val="24"/>
                <w:lang w:val="en-US" w:eastAsia="zh-CN"/>
              </w:rPr>
              <w:t>工业和信息化</w:t>
            </w:r>
            <w:r>
              <w:rPr>
                <w:rFonts w:hint="eastAsia" w:ascii="仿宋_GB2312" w:hAnsi="仿宋_GB2312" w:eastAsia="仿宋_GB2312" w:cs="仿宋_GB2312"/>
                <w:sz w:val="24"/>
                <w:szCs w:val="24"/>
                <w:lang w:val="en-US" w:eastAsia="zh-CN"/>
              </w:rPr>
              <w:t>厅对省级以上中小企业公共服务示范平台年度考核结果，对获得一、二、三等奖的分别给予20万元、10万元、5万元的奖励</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58A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符合条件的制造业企业</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13F6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财政补贴</w:t>
            </w:r>
          </w:p>
        </w:tc>
        <w:tc>
          <w:tcPr>
            <w:tcW w:w="11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E59D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市工业和信息化局</w:t>
            </w:r>
            <w:r>
              <w:rPr>
                <w:rFonts w:hint="eastAsia" w:ascii="仿宋_GB2312" w:hAnsi="仿宋_GB2312" w:eastAsia="仿宋_GB2312" w:cs="仿宋_GB2312"/>
                <w:sz w:val="24"/>
                <w:szCs w:val="24"/>
                <w:lang w:val="en-US" w:eastAsia="zh-CN"/>
              </w:rPr>
              <w:t>、市财政局</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3987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《平顶山市市级制造业高质量发展专项资金管理办法》（平财企〔2022〕3号）</w:t>
            </w:r>
          </w:p>
        </w:tc>
      </w:tr>
      <w:tr w14:paraId="58E73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68"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53B37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2D7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鼓励支持陶瓷新秀积极加入行业协会，对加入中国美术家协会，取得会员、理事、陶艺委委员及以上资格的，分别给予3万元、5万元、10万元奖补。鼓励支持陶瓷新秀、年轻创客开发陶瓷文创产品，对参加国家级文创产品大赛评选，获得金、银、铜奖（或同等奖项）的，分别给予3万元、2万元、1万元奖补；参加省级文创产品大赛评选，获得金、银、铜奖（或同等奖项）的，分别给予2万元、1万元、5000元奖补</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99E2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已认定</w:t>
            </w:r>
          </w:p>
          <w:p w14:paraId="0B71A1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人才</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7DBC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财政补贴</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492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市陶瓷发展促进中心办公室、市财政局</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827A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《平顶山市陶瓷产业人才引育行动实施方案》（平人才办〔2024〕2号）</w:t>
            </w:r>
          </w:p>
        </w:tc>
      </w:tr>
      <w:tr w14:paraId="6E9C9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25"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6D8AF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664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全职新引进或新培养的A、B类人才，充分考虑人才岗位职责、能力水平、工作业绩等因素，经综合评估分别给予500万元、200万元奖励补贴，分5年逐年发放；全职新引进到市内重点产业企业的C、D类人才，分别给予15万元、10万元奖励补贴，分3年逐年发放；全职新引进到市内重点产业企业科研、生产一线工作的E类人才</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给予全日制博士研究生及正高级职称人员8万元奖励补贴，给予全日制硕士研究生、副高级职称人员、“河南省技术能手”称号获得者、“双一流”建设高校本科毕业生3万元奖励补贴，分3年逐年发放；全职新引进到市内重点产业企业生产一线工作的F类人才，给予全日制本科生、预备技师（技师）6000元奖励补贴，分2年逐年发放</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3D2D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已认定</w:t>
            </w:r>
          </w:p>
          <w:p w14:paraId="42BC67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人才</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D43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人才优惠         政策</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E29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w:t>
            </w:r>
            <w:r>
              <w:rPr>
                <w:rFonts w:hint="eastAsia" w:ascii="仿宋_GB2312" w:hAnsi="仿宋_GB2312" w:cs="仿宋_GB2312"/>
                <w:sz w:val="24"/>
                <w:szCs w:val="24"/>
                <w:lang w:val="en-US" w:eastAsia="zh-CN"/>
              </w:rPr>
              <w:t>人力资源社会保障</w:t>
            </w:r>
            <w:r>
              <w:rPr>
                <w:rFonts w:hint="eastAsia" w:ascii="仿宋_GB2312" w:hAnsi="仿宋_GB2312" w:eastAsia="仿宋_GB2312" w:cs="仿宋_GB2312"/>
                <w:sz w:val="24"/>
                <w:szCs w:val="24"/>
                <w:lang w:val="en-US" w:eastAsia="zh-CN"/>
              </w:rPr>
              <w:t>局、市财政局</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53CE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《关于深入推进“平顶山英才计划”加快建设区域性人才中心和创新高地的若干措施》</w:t>
            </w:r>
          </w:p>
        </w:tc>
      </w:tr>
      <w:tr w14:paraId="3DDD7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6"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D33F8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22</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163B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发放“鹰才卡”</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C5B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已认定</w:t>
            </w:r>
          </w:p>
          <w:p w14:paraId="648CA8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人才</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A503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人才优惠         政策</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58FB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市政府</w:t>
            </w:r>
          </w:p>
          <w:p w14:paraId="6CBA17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办</w:t>
            </w:r>
            <w:r>
              <w:rPr>
                <w:rFonts w:hint="eastAsia" w:ascii="仿宋_GB2312" w:hAnsi="仿宋_GB2312" w:cs="仿宋_GB2312"/>
                <w:sz w:val="24"/>
                <w:szCs w:val="24"/>
                <w:lang w:val="en-US" w:eastAsia="zh-CN"/>
              </w:rPr>
              <w:t>公室</w:t>
            </w:r>
            <w:r>
              <w:rPr>
                <w:rFonts w:hint="eastAsia" w:ascii="仿宋_GB2312" w:hAnsi="仿宋_GB2312" w:eastAsia="仿宋_GB2312" w:cs="仿宋_GB2312"/>
                <w:sz w:val="24"/>
                <w:szCs w:val="24"/>
                <w:lang w:val="en-US" w:eastAsia="zh-CN"/>
              </w:rPr>
              <w:t>、市</w:t>
            </w:r>
            <w:r>
              <w:rPr>
                <w:rFonts w:hint="eastAsia" w:ascii="仿宋_GB2312" w:hAnsi="仿宋_GB2312" w:cs="仿宋_GB2312"/>
                <w:sz w:val="24"/>
                <w:szCs w:val="24"/>
                <w:lang w:val="en-US" w:eastAsia="zh-CN"/>
              </w:rPr>
              <w:t>人力资源社会保障</w:t>
            </w:r>
            <w:r>
              <w:rPr>
                <w:rFonts w:hint="eastAsia" w:ascii="仿宋_GB2312" w:hAnsi="仿宋_GB2312" w:eastAsia="仿宋_GB2312" w:cs="仿宋_GB2312"/>
                <w:sz w:val="24"/>
                <w:szCs w:val="24"/>
                <w:lang w:val="en-US" w:eastAsia="zh-CN"/>
              </w:rPr>
              <w:t>局</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8E2C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《关于深入推进“平顶山英才计划”加快建设区域性人才中心和创新高地的若干措施》</w:t>
            </w:r>
          </w:p>
        </w:tc>
      </w:tr>
      <w:tr w14:paraId="5B257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44"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B14E6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BF6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A、B类人才分别纳入平顶山市重点保健对象范围，建立健康档案，制定健康指导计划，记录动态健康信息，享受定制化、个性化专属体检服务。C、D类及E类人才中的全日制博士研究生、正高级职称人员，在定点医院享受优诊服务，并享受市健康保障和医学交流中心统一组织的健康体检活动</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811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已认定</w:t>
            </w:r>
          </w:p>
          <w:p w14:paraId="153A9B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人才</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EAA9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人才优惠        政策</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447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sz w:val="24"/>
                <w:szCs w:val="24"/>
                <w:lang w:val="en-US" w:eastAsia="zh-CN"/>
              </w:rPr>
            </w:pPr>
            <w:r>
              <w:rPr>
                <w:rFonts w:hint="eastAsia" w:ascii="仿宋_GB2312" w:hAnsi="仿宋_GB2312" w:eastAsia="仿宋_GB2312" w:cs="仿宋_GB2312"/>
                <w:sz w:val="24"/>
                <w:szCs w:val="24"/>
                <w:lang w:val="en-US" w:eastAsia="zh-CN"/>
              </w:rPr>
              <w:t>市</w:t>
            </w:r>
            <w:r>
              <w:rPr>
                <w:rFonts w:hint="eastAsia" w:ascii="仿宋_GB2312" w:hAnsi="仿宋_GB2312" w:cs="仿宋_GB2312"/>
                <w:sz w:val="24"/>
                <w:szCs w:val="24"/>
                <w:lang w:val="en-US" w:eastAsia="zh-CN"/>
              </w:rPr>
              <w:t>卫生</w:t>
            </w:r>
          </w:p>
          <w:p w14:paraId="70DE7A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健康</w:t>
            </w:r>
            <w:r>
              <w:rPr>
                <w:rFonts w:hint="eastAsia" w:ascii="仿宋_GB2312" w:hAnsi="仿宋_GB2312" w:eastAsia="仿宋_GB2312" w:cs="仿宋_GB2312"/>
                <w:sz w:val="24"/>
                <w:szCs w:val="24"/>
                <w:lang w:val="en-US" w:eastAsia="zh-CN"/>
              </w:rPr>
              <w:t>委</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8815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《关于深入推进“平顶山英才计划”加快建设区域性人才中心和创新高地的若干措施》</w:t>
            </w:r>
          </w:p>
        </w:tc>
      </w:tr>
      <w:tr w14:paraId="0651F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55"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43C33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24</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574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免费乘坐市内公共交通工具，在公共汽车站、高铁站乘车享受绿色通道服务</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C61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已认定</w:t>
            </w:r>
          </w:p>
          <w:p w14:paraId="6F6E3F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人才</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5CA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人才优惠          政策</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C7A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市交通</w:t>
            </w:r>
          </w:p>
          <w:p w14:paraId="2AB4C9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运输局</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7533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《关于深入推进“平顶山英才计划”加快建设区域性人才中心和创新高地的若干措施》</w:t>
            </w:r>
          </w:p>
        </w:tc>
      </w:tr>
      <w:tr w14:paraId="5684F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05"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3B252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7C6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可免费进入市内A级以上景区旅游</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3A1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已认定</w:t>
            </w:r>
          </w:p>
          <w:p w14:paraId="7AA34A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人才</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30B2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人才优惠          政策</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422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sz w:val="24"/>
                <w:szCs w:val="24"/>
                <w:lang w:val="en-US" w:eastAsia="zh-CN"/>
              </w:rPr>
            </w:pPr>
            <w:r>
              <w:rPr>
                <w:rFonts w:hint="eastAsia" w:ascii="仿宋_GB2312" w:hAnsi="仿宋_GB2312" w:eastAsia="仿宋_GB2312" w:cs="仿宋_GB2312"/>
                <w:sz w:val="24"/>
                <w:szCs w:val="24"/>
                <w:lang w:val="en-US" w:eastAsia="zh-CN"/>
              </w:rPr>
              <w:t>市</w:t>
            </w:r>
            <w:r>
              <w:rPr>
                <w:rFonts w:hint="eastAsia" w:ascii="仿宋_GB2312" w:hAnsi="仿宋_GB2312" w:cs="仿宋_GB2312"/>
                <w:sz w:val="24"/>
                <w:szCs w:val="24"/>
                <w:lang w:val="en-US" w:eastAsia="zh-CN"/>
              </w:rPr>
              <w:t>文化</w:t>
            </w:r>
          </w:p>
          <w:p w14:paraId="2238FC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广电和</w:t>
            </w:r>
          </w:p>
          <w:p w14:paraId="300928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旅游</w:t>
            </w:r>
            <w:r>
              <w:rPr>
                <w:rFonts w:hint="eastAsia" w:ascii="仿宋_GB2312" w:hAnsi="仿宋_GB2312" w:eastAsia="仿宋_GB2312" w:cs="仿宋_GB2312"/>
                <w:sz w:val="24"/>
                <w:szCs w:val="24"/>
                <w:lang w:val="en-US" w:eastAsia="zh-CN"/>
              </w:rPr>
              <w:t>局</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46D6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《关于深入推进“平顶山英才计划”加快建设区域性人才中心和创新高地的若干措施》</w:t>
            </w:r>
          </w:p>
        </w:tc>
      </w:tr>
      <w:tr w14:paraId="00643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05"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85F0F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26</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71BC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可免费观看市政府部门举办的音乐会、戏剧演出、文化展览、体育赛事等文化活动</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0812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已认定</w:t>
            </w:r>
          </w:p>
          <w:p w14:paraId="30C694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人才</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A9A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人才优惠                政策</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819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szCs w:val="24"/>
                <w:lang w:val="en-US" w:eastAsia="zh-CN"/>
              </w:rPr>
              <w:t>市教育体育局、</w:t>
            </w:r>
            <w:r>
              <w:rPr>
                <w:rFonts w:hint="eastAsia" w:ascii="仿宋_GB2312" w:hAnsi="仿宋_GB2312" w:eastAsia="仿宋_GB2312" w:cs="仿宋_GB2312"/>
                <w:sz w:val="24"/>
                <w:szCs w:val="24"/>
                <w:lang w:val="en-US" w:eastAsia="zh-CN"/>
              </w:rPr>
              <w:t>市</w:t>
            </w:r>
            <w:r>
              <w:rPr>
                <w:rFonts w:hint="eastAsia" w:ascii="仿宋_GB2312" w:hAnsi="仿宋_GB2312" w:cs="仿宋_GB2312"/>
                <w:sz w:val="24"/>
                <w:szCs w:val="24"/>
                <w:lang w:val="en-US" w:eastAsia="zh-CN"/>
              </w:rPr>
              <w:t>文化广电和旅游</w:t>
            </w:r>
            <w:r>
              <w:rPr>
                <w:rFonts w:hint="eastAsia" w:ascii="仿宋_GB2312" w:hAnsi="仿宋_GB2312" w:eastAsia="仿宋_GB2312" w:cs="仿宋_GB2312"/>
                <w:sz w:val="24"/>
                <w:szCs w:val="24"/>
                <w:lang w:val="en-US" w:eastAsia="zh-CN"/>
              </w:rPr>
              <w:t>局</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257B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《关于深入推进“平顶山英才计划”加快建设区域性人才中心和创新高地的若干措施》</w:t>
            </w:r>
          </w:p>
        </w:tc>
      </w:tr>
      <w:tr w14:paraId="6FE78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40"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6A521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w:t>
            </w:r>
          </w:p>
        </w:tc>
        <w:tc>
          <w:tcPr>
            <w:tcW w:w="45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748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在市内各级体育部门所属公共体育场馆免费入场馆健身</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05F8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已认定</w:t>
            </w:r>
          </w:p>
          <w:p w14:paraId="0B76C6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人才</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0C08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人才优惠              政策</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FE0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sz w:val="24"/>
                <w:szCs w:val="24"/>
                <w:lang w:val="en-US" w:eastAsia="zh-CN"/>
              </w:rPr>
            </w:pPr>
            <w:r>
              <w:rPr>
                <w:rFonts w:hint="eastAsia" w:ascii="仿宋_GB2312" w:hAnsi="仿宋_GB2312" w:eastAsia="仿宋_GB2312" w:cs="仿宋_GB2312"/>
                <w:sz w:val="24"/>
                <w:szCs w:val="24"/>
                <w:lang w:val="en-US" w:eastAsia="zh-CN"/>
              </w:rPr>
              <w:t>市</w:t>
            </w:r>
            <w:r>
              <w:rPr>
                <w:rFonts w:hint="eastAsia" w:ascii="仿宋_GB2312" w:hAnsi="仿宋_GB2312" w:cs="仿宋_GB2312"/>
                <w:sz w:val="24"/>
                <w:szCs w:val="24"/>
                <w:lang w:val="en-US" w:eastAsia="zh-CN"/>
              </w:rPr>
              <w:t>教育</w:t>
            </w:r>
          </w:p>
          <w:p w14:paraId="697F4B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体育</w:t>
            </w:r>
            <w:r>
              <w:rPr>
                <w:rFonts w:hint="eastAsia" w:ascii="仿宋_GB2312" w:hAnsi="仿宋_GB2312" w:eastAsia="仿宋_GB2312" w:cs="仿宋_GB2312"/>
                <w:sz w:val="24"/>
                <w:szCs w:val="24"/>
                <w:lang w:val="en-US" w:eastAsia="zh-CN"/>
              </w:rPr>
              <w:t>局</w:t>
            </w:r>
          </w:p>
        </w:tc>
        <w:tc>
          <w:tcPr>
            <w:tcW w:w="4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D902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《关于深入推进“平顶山英才计划”加快建设区域性人才中心和创新高地的若干措施》</w:t>
            </w:r>
          </w:p>
        </w:tc>
      </w:tr>
    </w:tbl>
    <w:p w14:paraId="1283150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93E0E"/>
    <w:rsid w:val="0E19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2025-04-17T07:43:00Z</dcterms:created>
  <dc:creator>楚乔乔乔乔</dc:creator>
  <cp:lastModifiedBy>楚乔乔乔乔</cp:lastModifiedBy>
  <dcterms:modified xsi:type="dcterms:W3CDTF">2025-04-17T07:43:42Z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0720620848064B8EBA78893CD2950CE3_11</vt:lpwstr>
  </property>
  <property fmtid="{D5CDD505-2E9C-101B-9397-08002B2CF9AE}" pid="4" name="KSOTemplateDocerSaveRecord">
    <vt:lpwstr>eyJoZGlkIjoiMjg5OGZmNzAyMGNmZmJiMGU1ZTE5MDczOTQxOGQ0YTMiLCJ1c2VySWQiOiIzMTE2ODQ4NjcifQ==</vt:lpwstr>
  </property>
</Properties>
</file>